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A2C6" w14:textId="7355ACA5" w:rsidR="00A01BB6" w:rsidRPr="00B36F10" w:rsidRDefault="00A01BB6" w:rsidP="00A01BB6">
      <w:pPr>
        <w:spacing w:after="0" w:line="240" w:lineRule="auto"/>
        <w:jc w:val="center"/>
        <w:rPr>
          <w:rFonts w:asciiTheme="majorHAnsi" w:hAnsiTheme="majorHAnsi" w:cstheme="majorHAnsi"/>
          <w:b/>
          <w:sz w:val="30"/>
          <w:szCs w:val="30"/>
        </w:rPr>
      </w:pPr>
      <w:r w:rsidRPr="00B36F10">
        <w:rPr>
          <w:rFonts w:asciiTheme="majorHAnsi" w:hAnsiTheme="majorHAnsi" w:cstheme="majorHAnsi"/>
          <w:b/>
          <w:sz w:val="30"/>
          <w:szCs w:val="30"/>
        </w:rPr>
        <w:t>Human Capital Self-Assessment</w:t>
      </w:r>
      <w:r>
        <w:rPr>
          <w:rFonts w:asciiTheme="majorHAnsi" w:hAnsiTheme="majorHAnsi" w:cstheme="majorHAnsi"/>
          <w:b/>
          <w:sz w:val="30"/>
          <w:szCs w:val="30"/>
        </w:rPr>
        <w:t xml:space="preserve"> Look</w:t>
      </w:r>
      <w:r w:rsidR="001406B7">
        <w:rPr>
          <w:rFonts w:asciiTheme="majorHAnsi" w:hAnsiTheme="majorHAnsi" w:cstheme="majorHAnsi"/>
          <w:b/>
          <w:sz w:val="30"/>
          <w:szCs w:val="30"/>
        </w:rPr>
        <w:t>-</w:t>
      </w:r>
      <w:proofErr w:type="spellStart"/>
      <w:r>
        <w:rPr>
          <w:rFonts w:asciiTheme="majorHAnsi" w:hAnsiTheme="majorHAnsi" w:cstheme="majorHAnsi"/>
          <w:b/>
          <w:sz w:val="30"/>
          <w:szCs w:val="30"/>
        </w:rPr>
        <w:t>Fors</w:t>
      </w:r>
      <w:proofErr w:type="spellEnd"/>
    </w:p>
    <w:p w14:paraId="39C28575" w14:textId="38CD2DE7" w:rsidR="00A01BB6" w:rsidRDefault="00A01BB6" w:rsidP="00A01BB6">
      <w:pPr>
        <w:spacing w:after="0" w:line="240" w:lineRule="auto"/>
        <w:jc w:val="center"/>
        <w:rPr>
          <w:rFonts w:asciiTheme="majorHAnsi" w:hAnsiTheme="majorHAnsi" w:cstheme="majorHAnsi"/>
          <w:i/>
        </w:rPr>
      </w:pPr>
      <w:r w:rsidRPr="00B36F10">
        <w:rPr>
          <w:rFonts w:asciiTheme="majorHAnsi" w:hAnsiTheme="majorHAnsi" w:cstheme="majorHAnsi"/>
          <w:i/>
        </w:rPr>
        <w:t>Based on self-assessment tools from the Tennessee Department of Education, Urban Schools Human Capital Academy, Equitable Access Support Network, and The Aspen Institute</w:t>
      </w:r>
    </w:p>
    <w:p w14:paraId="3266C96A" w14:textId="77777777" w:rsidR="00D22EA6" w:rsidRDefault="00D22EA6" w:rsidP="00A01BB6">
      <w:pPr>
        <w:spacing w:after="0" w:line="240" w:lineRule="auto"/>
        <w:jc w:val="center"/>
        <w:rPr>
          <w:rFonts w:asciiTheme="majorHAnsi" w:hAnsiTheme="majorHAnsi" w:cstheme="majorHAnsi"/>
          <w:i/>
        </w:rPr>
      </w:pPr>
    </w:p>
    <w:tbl>
      <w:tblPr>
        <w:tblStyle w:val="TableGrid"/>
        <w:tblW w:w="11065" w:type="dxa"/>
        <w:tblLook w:val="04A0" w:firstRow="1" w:lastRow="0" w:firstColumn="1" w:lastColumn="0" w:noHBand="0" w:noVBand="1"/>
      </w:tblPr>
      <w:tblGrid>
        <w:gridCol w:w="5485"/>
        <w:gridCol w:w="5580"/>
      </w:tblGrid>
      <w:tr w:rsidR="001406B7" w14:paraId="7355EAC4" w14:textId="77777777" w:rsidTr="006A7E79">
        <w:tc>
          <w:tcPr>
            <w:tcW w:w="11065" w:type="dxa"/>
            <w:gridSpan w:val="2"/>
            <w:shd w:val="clear" w:color="auto" w:fill="B4C6E7" w:themeFill="accent1" w:themeFillTint="66"/>
          </w:tcPr>
          <w:p w14:paraId="49BD042C" w14:textId="79126EA6" w:rsidR="001406B7" w:rsidRDefault="005D256C" w:rsidP="00B62A4F">
            <w:pPr>
              <w:jc w:val="center"/>
            </w:pPr>
            <w:r>
              <w:rPr>
                <w:rFonts w:asciiTheme="majorHAnsi" w:hAnsiTheme="majorHAnsi" w:cstheme="majorHAnsi"/>
                <w:b/>
                <w:color w:val="2F5496" w:themeColor="accent1" w:themeShade="BF"/>
                <w:sz w:val="30"/>
                <w:szCs w:val="30"/>
              </w:rPr>
              <w:t xml:space="preserve">I. </w:t>
            </w:r>
            <w:r w:rsidR="00B62A4F" w:rsidRPr="00686B20">
              <w:rPr>
                <w:rFonts w:asciiTheme="majorHAnsi" w:hAnsiTheme="majorHAnsi" w:cstheme="majorHAnsi"/>
                <w:b/>
                <w:color w:val="2F5496" w:themeColor="accent1" w:themeShade="BF"/>
                <w:sz w:val="30"/>
                <w:szCs w:val="30"/>
              </w:rPr>
              <w:t>RECRUITMENT &amp; HIRING</w:t>
            </w:r>
          </w:p>
        </w:tc>
      </w:tr>
      <w:tr w:rsidR="001406B7" w14:paraId="5CFD3E1A" w14:textId="77777777" w:rsidTr="1089C85A">
        <w:tc>
          <w:tcPr>
            <w:tcW w:w="5485" w:type="dxa"/>
            <w:shd w:val="clear" w:color="auto" w:fill="B4C6E7" w:themeFill="accent1" w:themeFillTint="66"/>
          </w:tcPr>
          <w:p w14:paraId="421C58CA" w14:textId="5ED8E530" w:rsidR="001406B7" w:rsidRPr="008364CE" w:rsidRDefault="00D22EA6" w:rsidP="00D22EA6">
            <w:pPr>
              <w:rPr>
                <w:rFonts w:asciiTheme="majorHAnsi" w:hAnsiTheme="majorHAnsi" w:cstheme="majorHAnsi"/>
                <w:b/>
                <w:color w:val="2F5496" w:themeColor="accent1" w:themeShade="BF"/>
              </w:rPr>
            </w:pPr>
            <w:r w:rsidRPr="008364CE">
              <w:rPr>
                <w:rFonts w:asciiTheme="majorHAnsi" w:hAnsiTheme="majorHAnsi" w:cstheme="majorHAnsi"/>
                <w:b/>
                <w:color w:val="2F5496" w:themeColor="accent1" w:themeShade="BF"/>
              </w:rPr>
              <w:t xml:space="preserve">Practice 1: </w:t>
            </w:r>
            <w:r w:rsidR="002A1174" w:rsidRPr="008364CE">
              <w:rPr>
                <w:rFonts w:asciiTheme="majorHAnsi" w:hAnsiTheme="majorHAnsi" w:cstheme="majorHAnsi"/>
                <w:color w:val="2F5496" w:themeColor="accent1" w:themeShade="BF"/>
              </w:rPr>
              <w:t>The LEA broadly markets job openings using diverse strategies and means of communication.</w:t>
            </w:r>
          </w:p>
        </w:tc>
        <w:tc>
          <w:tcPr>
            <w:tcW w:w="5580" w:type="dxa"/>
            <w:shd w:val="clear" w:color="auto" w:fill="B4C6E7" w:themeFill="accent1" w:themeFillTint="66"/>
          </w:tcPr>
          <w:p w14:paraId="54871353" w14:textId="5B5B7221" w:rsidR="001406B7" w:rsidRPr="00076559" w:rsidRDefault="00CF0B74">
            <w:pPr>
              <w:rPr>
                <w:rFonts w:asciiTheme="majorHAnsi" w:hAnsiTheme="majorHAnsi" w:cstheme="majorBidi"/>
                <w:color w:val="2F5496" w:themeColor="accent1" w:themeShade="BF"/>
              </w:rPr>
            </w:pPr>
            <w:r w:rsidRPr="00247606">
              <w:rPr>
                <w:rFonts w:asciiTheme="majorHAnsi" w:hAnsiTheme="majorHAnsi" w:cstheme="majorBidi"/>
                <w:b/>
                <w:color w:val="2F5496" w:themeColor="accent1" w:themeShade="BF"/>
              </w:rPr>
              <w:t xml:space="preserve">Practice 2: </w:t>
            </w:r>
            <w:r w:rsidR="00772EBD" w:rsidRPr="001461AD">
              <w:rPr>
                <w:rFonts w:asciiTheme="majorHAnsi" w:hAnsiTheme="majorHAnsi" w:cstheme="majorHAnsi"/>
                <w:color w:val="2F5496" w:themeColor="accent1" w:themeShade="BF"/>
              </w:rPr>
              <w:t>Known teacher vacancies are filled by June 1. The LEA uses strategies to encourage resigning/retiring educators to notify the LEA in the spring. By tracking educators’ intent to leave and student demographic changes, the LEA can successfully forecast hiring needs.</w:t>
            </w:r>
          </w:p>
        </w:tc>
      </w:tr>
      <w:tr w:rsidR="001406B7" w14:paraId="7FEA740B" w14:textId="77777777" w:rsidTr="1089C85A">
        <w:tc>
          <w:tcPr>
            <w:tcW w:w="5485" w:type="dxa"/>
          </w:tcPr>
          <w:p w14:paraId="6DCAF8EE" w14:textId="03BA54DF" w:rsidR="001406B7" w:rsidRPr="00A14710" w:rsidRDefault="00A14710" w:rsidP="00A14710">
            <w:pPr>
              <w:tabs>
                <w:tab w:val="center" w:pos="2229"/>
              </w:tabs>
            </w:pPr>
            <w:r>
              <w:rPr>
                <w:b/>
              </w:rPr>
              <w:t>Look-</w:t>
            </w:r>
            <w:proofErr w:type="spellStart"/>
            <w:r>
              <w:rPr>
                <w:b/>
              </w:rPr>
              <w:t>fors</w:t>
            </w:r>
            <w:proofErr w:type="spellEnd"/>
            <w:r>
              <w:rPr>
                <w:b/>
              </w:rPr>
              <w:t>:</w:t>
            </w:r>
            <w:r w:rsidR="00F643EF" w:rsidRPr="00A14710">
              <w:tab/>
            </w:r>
          </w:p>
          <w:p w14:paraId="727E4065" w14:textId="1680EF0A" w:rsidR="00A14710" w:rsidRDefault="00035517" w:rsidP="00A14710">
            <w:pPr>
              <w:pStyle w:val="ListParagraph"/>
              <w:numPr>
                <w:ilvl w:val="0"/>
                <w:numId w:val="3"/>
              </w:numPr>
              <w:tabs>
                <w:tab w:val="center" w:pos="2229"/>
              </w:tabs>
            </w:pPr>
            <w:r>
              <w:t xml:space="preserve">Job descriptions/postings </w:t>
            </w:r>
            <w:r w:rsidR="00A14710">
              <w:t xml:space="preserve">and other recruitment efforts </w:t>
            </w:r>
            <w:r w:rsidR="00A14710" w:rsidRPr="00A14710">
              <w:t xml:space="preserve">clearly advertise </w:t>
            </w:r>
            <w:r w:rsidR="00A14710" w:rsidRPr="00C15275">
              <w:t>financial</w:t>
            </w:r>
            <w:r w:rsidR="00A14710" w:rsidRPr="00A14710">
              <w:t>, professional and other benefits of working for the LEA</w:t>
            </w:r>
            <w:r w:rsidR="00A14710">
              <w:t>.</w:t>
            </w:r>
          </w:p>
          <w:p w14:paraId="6B5F213B" w14:textId="3B28C932" w:rsidR="00247606" w:rsidRDefault="00247606" w:rsidP="00A14710">
            <w:pPr>
              <w:pStyle w:val="ListParagraph"/>
              <w:numPr>
                <w:ilvl w:val="0"/>
                <w:numId w:val="3"/>
              </w:numPr>
              <w:tabs>
                <w:tab w:val="center" w:pos="2229"/>
              </w:tabs>
            </w:pPr>
            <w:r>
              <w:t>Job descriptions clearly and accurately describe the duties, skills, requirements and other expectations for positions.</w:t>
            </w:r>
          </w:p>
          <w:p w14:paraId="250963F2" w14:textId="470A5046" w:rsidR="00337E91" w:rsidRDefault="00337E91" w:rsidP="00A14710">
            <w:pPr>
              <w:pStyle w:val="ListParagraph"/>
              <w:numPr>
                <w:ilvl w:val="0"/>
                <w:numId w:val="3"/>
              </w:numPr>
              <w:tabs>
                <w:tab w:val="center" w:pos="2229"/>
              </w:tabs>
            </w:pPr>
            <w:r>
              <w:t>The LEA uses diverse marketing approaches, including social media, traditional media,</w:t>
            </w:r>
            <w:r w:rsidR="00A1492C">
              <w:t xml:space="preserve"> job fairs,</w:t>
            </w:r>
            <w:r>
              <w:t xml:space="preserve"> and teachers as “ambassadors” </w:t>
            </w:r>
            <w:r w:rsidR="00015067">
              <w:t>for recruitment.</w:t>
            </w:r>
          </w:p>
          <w:p w14:paraId="71B65EA6" w14:textId="497477B9" w:rsidR="00C25983" w:rsidRDefault="00C25983" w:rsidP="00A14710">
            <w:pPr>
              <w:pStyle w:val="ListParagraph"/>
              <w:numPr>
                <w:ilvl w:val="0"/>
                <w:numId w:val="3"/>
              </w:numPr>
              <w:tabs>
                <w:tab w:val="center" w:pos="2229"/>
              </w:tabs>
            </w:pPr>
            <w:r>
              <w:t>Marketing for paraprofessional job openings also uses diverse approaches, including local community outreach.</w:t>
            </w:r>
          </w:p>
          <w:p w14:paraId="108E3193" w14:textId="20417D86" w:rsidR="0085065E" w:rsidRDefault="0085065E" w:rsidP="00A14710">
            <w:pPr>
              <w:pStyle w:val="ListParagraph"/>
              <w:numPr>
                <w:ilvl w:val="0"/>
                <w:numId w:val="3"/>
              </w:numPr>
              <w:tabs>
                <w:tab w:val="center" w:pos="2229"/>
              </w:tabs>
            </w:pPr>
            <w:r>
              <w:t>Job openings, descriptions, and application processes are online.</w:t>
            </w:r>
          </w:p>
          <w:p w14:paraId="0E179033" w14:textId="3903A3A8" w:rsidR="00810C37" w:rsidRDefault="00810C37" w:rsidP="00810C37">
            <w:pPr>
              <w:pStyle w:val="ListParagraph"/>
              <w:numPr>
                <w:ilvl w:val="0"/>
                <w:numId w:val="3"/>
              </w:numPr>
              <w:tabs>
                <w:tab w:val="center" w:pos="2229"/>
              </w:tabs>
            </w:pPr>
            <w:r>
              <w:t>Recruitment efforts use strategies to reach out to diverse candidates and diversify the applicant pool.</w:t>
            </w:r>
          </w:p>
          <w:p w14:paraId="5BAA4789" w14:textId="4E00303C" w:rsidR="00810C37" w:rsidRDefault="00447DF9" w:rsidP="00810C37">
            <w:pPr>
              <w:pStyle w:val="ListParagraph"/>
              <w:numPr>
                <w:ilvl w:val="0"/>
                <w:numId w:val="3"/>
              </w:numPr>
              <w:tabs>
                <w:tab w:val="center" w:pos="2229"/>
              </w:tabs>
            </w:pPr>
            <w:r>
              <w:t xml:space="preserve">The LEA tracks which </w:t>
            </w:r>
            <w:r w:rsidR="00B86AE4">
              <w:t xml:space="preserve">subjects have the most frequent openings and/or are hardest to fill. </w:t>
            </w:r>
            <w:r w:rsidR="00810C37">
              <w:t xml:space="preserve">Recruitment efforts use strategies to </w:t>
            </w:r>
            <w:r w:rsidR="007C55F2">
              <w:t>target educators in shortage subjects.</w:t>
            </w:r>
          </w:p>
          <w:p w14:paraId="0B8E9346" w14:textId="288AC42E" w:rsidR="00A14710" w:rsidRDefault="00FA093F" w:rsidP="00A14710">
            <w:pPr>
              <w:pStyle w:val="ListParagraph"/>
              <w:numPr>
                <w:ilvl w:val="0"/>
                <w:numId w:val="3"/>
              </w:numPr>
              <w:tabs>
                <w:tab w:val="center" w:pos="2229"/>
              </w:tabs>
            </w:pPr>
            <w:r>
              <w:t>The LEA annually reviews outcomes of its recruitment efforts</w:t>
            </w:r>
            <w:r w:rsidR="00810C37">
              <w:t xml:space="preserve"> </w:t>
            </w:r>
            <w:r>
              <w:t>and uses this information to revi</w:t>
            </w:r>
            <w:r w:rsidR="00810C37">
              <w:t>se future work.</w:t>
            </w:r>
          </w:p>
          <w:p w14:paraId="6E94E223" w14:textId="7AAD7ADB" w:rsidR="00353A24" w:rsidRDefault="00353A24" w:rsidP="00A14710">
            <w:pPr>
              <w:pStyle w:val="ListParagraph"/>
              <w:numPr>
                <w:ilvl w:val="0"/>
                <w:numId w:val="3"/>
              </w:numPr>
              <w:tabs>
                <w:tab w:val="center" w:pos="2229"/>
              </w:tabs>
            </w:pPr>
            <w:r>
              <w:t>The LEA is aware of neighboring LEAs’ recruitment and hiring timeline, and</w:t>
            </w:r>
            <w:r w:rsidR="00316705">
              <w:t xml:space="preserve"> strategically sets its own timeline accordingly.</w:t>
            </w:r>
          </w:p>
          <w:p w14:paraId="4146A7F8" w14:textId="77777777" w:rsidR="00810C37" w:rsidRDefault="00077597" w:rsidP="00A14710">
            <w:pPr>
              <w:pStyle w:val="ListParagraph"/>
              <w:numPr>
                <w:ilvl w:val="0"/>
                <w:numId w:val="3"/>
              </w:numPr>
              <w:tabs>
                <w:tab w:val="center" w:pos="2229"/>
              </w:tabs>
            </w:pPr>
            <w:r>
              <w:t xml:space="preserve">The LEA </w:t>
            </w:r>
            <w:r w:rsidR="00E32631">
              <w:t>works with effective educator preparation providers to recruit educator candidates.</w:t>
            </w:r>
          </w:p>
          <w:p w14:paraId="7A445B4F" w14:textId="0EC7413C" w:rsidR="00571DC2" w:rsidRPr="00F643EF" w:rsidRDefault="0092343B">
            <w:pPr>
              <w:pStyle w:val="ListParagraph"/>
              <w:numPr>
                <w:ilvl w:val="0"/>
                <w:numId w:val="3"/>
              </w:numPr>
              <w:tabs>
                <w:tab w:val="center" w:pos="2229"/>
              </w:tabs>
            </w:pPr>
            <w:r>
              <w:t xml:space="preserve">School leaders report </w:t>
            </w:r>
            <w:r w:rsidR="00C425C2">
              <w:t>that the applicant pool meets their schools’ needs.</w:t>
            </w:r>
          </w:p>
        </w:tc>
        <w:tc>
          <w:tcPr>
            <w:tcW w:w="5580" w:type="dxa"/>
          </w:tcPr>
          <w:p w14:paraId="4B859F33" w14:textId="77777777" w:rsidR="001406B7" w:rsidRDefault="00E87C25">
            <w:r>
              <w:rPr>
                <w:b/>
              </w:rPr>
              <w:t>Look-</w:t>
            </w:r>
            <w:proofErr w:type="spellStart"/>
            <w:r>
              <w:rPr>
                <w:b/>
              </w:rPr>
              <w:t>fors</w:t>
            </w:r>
            <w:proofErr w:type="spellEnd"/>
            <w:r>
              <w:t>:</w:t>
            </w:r>
          </w:p>
          <w:p w14:paraId="411087C0" w14:textId="27988A84" w:rsidR="00E87C25" w:rsidRDefault="00E87C25" w:rsidP="00E87C25">
            <w:pPr>
              <w:pStyle w:val="ListParagraph"/>
              <w:numPr>
                <w:ilvl w:val="0"/>
                <w:numId w:val="3"/>
              </w:numPr>
            </w:pPr>
            <w:r>
              <w:t>All teaching positions are filled by the beginning of the school year, except in rare circumstances.</w:t>
            </w:r>
          </w:p>
          <w:p w14:paraId="0CE13753" w14:textId="77777777" w:rsidR="00E87C25" w:rsidRDefault="00863B1D" w:rsidP="00E87C25">
            <w:pPr>
              <w:pStyle w:val="ListParagraph"/>
              <w:numPr>
                <w:ilvl w:val="0"/>
                <w:numId w:val="3"/>
              </w:numPr>
            </w:pPr>
            <w:r>
              <w:t>The LEA identifie</w:t>
            </w:r>
            <w:r w:rsidR="00070422">
              <w:t>s</w:t>
            </w:r>
            <w:r>
              <w:t xml:space="preserve"> and addresses barriers to earlier hiring</w:t>
            </w:r>
            <w:r w:rsidR="009C10F1">
              <w:t xml:space="preserve"> (e.g., not knowing how many positions to fill).</w:t>
            </w:r>
          </w:p>
          <w:p w14:paraId="6FCE7767" w14:textId="0D1E66C7" w:rsidR="00070422" w:rsidRDefault="00070422" w:rsidP="00E87C25">
            <w:pPr>
              <w:pStyle w:val="ListParagraph"/>
              <w:numPr>
                <w:ilvl w:val="0"/>
                <w:numId w:val="3"/>
              </w:numPr>
            </w:pPr>
            <w:r>
              <w:t xml:space="preserve">Using data on </w:t>
            </w:r>
            <w:r w:rsidR="00167AB9">
              <w:t>demographic changes in the local student population, the LEA effectively predicts hiring needs</w:t>
            </w:r>
            <w:r w:rsidR="00F821E8">
              <w:t xml:space="preserve"> </w:t>
            </w:r>
            <w:r w:rsidR="00823B97">
              <w:t>one year out and five years out</w:t>
            </w:r>
          </w:p>
          <w:p w14:paraId="6E2954D7" w14:textId="62599ACF" w:rsidR="00167AB9" w:rsidRDefault="00257AD3" w:rsidP="00E87C25">
            <w:pPr>
              <w:pStyle w:val="ListParagraph"/>
              <w:numPr>
                <w:ilvl w:val="0"/>
                <w:numId w:val="3"/>
              </w:numPr>
            </w:pPr>
            <w:r>
              <w:t>The LEA sets and enforces deadlines for educators to give notice of intent to resign/retire, and provides incentives for meeting deadlines (e.g., keeping benefits over the summer)</w:t>
            </w:r>
            <w:r w:rsidR="057789DA">
              <w:t>; collective bargaining language reflects these processes.</w:t>
            </w:r>
          </w:p>
          <w:p w14:paraId="7D1D1FB4" w14:textId="77777777" w:rsidR="00A55CB7" w:rsidRDefault="00552938" w:rsidP="00E87C25">
            <w:pPr>
              <w:pStyle w:val="ListParagraph"/>
              <w:numPr>
                <w:ilvl w:val="0"/>
                <w:numId w:val="3"/>
              </w:numPr>
            </w:pPr>
            <w:r>
              <w:t xml:space="preserve">The LEA has </w:t>
            </w:r>
            <w:r w:rsidR="007122CC">
              <w:t>strategies</w:t>
            </w:r>
            <w:r>
              <w:t xml:space="preserve"> to </w:t>
            </w:r>
            <w:r w:rsidR="000E33A7">
              <w:t xml:space="preserve">quickly </w:t>
            </w:r>
            <w:r>
              <w:t xml:space="preserve">flag the receipt of promising job applications, and </w:t>
            </w:r>
            <w:r w:rsidR="00C17290">
              <w:t>efficiently</w:t>
            </w:r>
            <w:r>
              <w:t xml:space="preserve"> moves </w:t>
            </w:r>
            <w:r w:rsidR="00431DF2">
              <w:t>top</w:t>
            </w:r>
            <w:r>
              <w:t xml:space="preserve"> candidates through the application and job offer processes.</w:t>
            </w:r>
          </w:p>
          <w:p w14:paraId="4D26EF09" w14:textId="34BA6949" w:rsidR="00BC194B" w:rsidRDefault="00BC194B" w:rsidP="00E87C25">
            <w:pPr>
              <w:pStyle w:val="ListParagraph"/>
              <w:numPr>
                <w:ilvl w:val="0"/>
                <w:numId w:val="3"/>
              </w:numPr>
            </w:pPr>
            <w:r>
              <w:t xml:space="preserve">As necessary, </w:t>
            </w:r>
            <w:r w:rsidR="00BD7866">
              <w:t>the LEA makes job offers to candidates in shortage areas in the spring.</w:t>
            </w:r>
          </w:p>
          <w:p w14:paraId="6E65E085" w14:textId="3BC00686" w:rsidR="006E75E6" w:rsidRDefault="006E75E6" w:rsidP="00E87C25">
            <w:pPr>
              <w:pStyle w:val="ListParagraph"/>
              <w:numPr>
                <w:ilvl w:val="0"/>
                <w:numId w:val="3"/>
              </w:numPr>
            </w:pPr>
            <w:r>
              <w:t xml:space="preserve">LEA has established partnership with EPPs </w:t>
            </w:r>
          </w:p>
          <w:p w14:paraId="2B6FED2C" w14:textId="147C681C" w:rsidR="007E3575" w:rsidRPr="00E87C25" w:rsidRDefault="007F426F" w:rsidP="00E87C25">
            <w:pPr>
              <w:pStyle w:val="ListParagraph"/>
              <w:numPr>
                <w:ilvl w:val="0"/>
                <w:numId w:val="3"/>
              </w:numPr>
            </w:pPr>
            <w:r>
              <w:t xml:space="preserve">The LEA surveys </w:t>
            </w:r>
            <w:r w:rsidR="002D3AB7">
              <w:t>all applicants; they report</w:t>
            </w:r>
            <w:r w:rsidR="007E3575">
              <w:t xml:space="preserve"> an efficient, professional and coherent hiring process.</w:t>
            </w:r>
          </w:p>
        </w:tc>
      </w:tr>
    </w:tbl>
    <w:p w14:paraId="1C19C732" w14:textId="325FA884" w:rsidR="00FB77D0" w:rsidRDefault="00FB77D0"/>
    <w:p w14:paraId="1AD0981D" w14:textId="4F6840F0" w:rsidR="00571DC2" w:rsidRDefault="00571DC2"/>
    <w:p w14:paraId="6D901E10" w14:textId="4CDE34B6" w:rsidR="00571DC2" w:rsidRDefault="00571DC2"/>
    <w:p w14:paraId="03990F59" w14:textId="21EE8C05" w:rsidR="00571DC2" w:rsidRDefault="00571DC2"/>
    <w:p w14:paraId="577E689E" w14:textId="27805635" w:rsidR="00571DC2" w:rsidRDefault="00571DC2"/>
    <w:tbl>
      <w:tblPr>
        <w:tblStyle w:val="TableGrid"/>
        <w:tblW w:w="11065" w:type="dxa"/>
        <w:tblLook w:val="04A0" w:firstRow="1" w:lastRow="0" w:firstColumn="1" w:lastColumn="0" w:noHBand="0" w:noVBand="1"/>
      </w:tblPr>
      <w:tblGrid>
        <w:gridCol w:w="5485"/>
        <w:gridCol w:w="5580"/>
      </w:tblGrid>
      <w:tr w:rsidR="00571DC2" w:rsidRPr="00917AC4" w14:paraId="2684D36E" w14:textId="77777777" w:rsidTr="00C35653">
        <w:tc>
          <w:tcPr>
            <w:tcW w:w="5485" w:type="dxa"/>
            <w:shd w:val="clear" w:color="auto" w:fill="B4C6E7" w:themeFill="accent1" w:themeFillTint="66"/>
          </w:tcPr>
          <w:p w14:paraId="732A4499" w14:textId="24BD91C6" w:rsidR="00571DC2" w:rsidRPr="001461AD" w:rsidRDefault="00571DC2" w:rsidP="00C35653">
            <w:pPr>
              <w:rPr>
                <w:color w:val="2F5496" w:themeColor="accent1" w:themeShade="BF"/>
              </w:rPr>
            </w:pPr>
            <w:r w:rsidRPr="001461AD">
              <w:rPr>
                <w:color w:val="2F5496" w:themeColor="accent1" w:themeShade="BF"/>
              </w:rPr>
              <w:lastRenderedPageBreak/>
              <w:t xml:space="preserve">Practice 3: </w:t>
            </w:r>
            <w:r w:rsidR="001461AD" w:rsidRPr="001461AD">
              <w:rPr>
                <w:rFonts w:asciiTheme="majorHAnsi" w:hAnsiTheme="majorHAnsi" w:cstheme="majorHAnsi"/>
                <w:color w:val="2F5496" w:themeColor="accent1" w:themeShade="BF"/>
              </w:rPr>
              <w:t>The LEA has identified strategies and aligned policies (e.g., early hiring, teacher leadership positions, early recruitment of effective student teachers) to increase the number of effective educators in its highest need schools and monitors whether there are differences in the number of effective educators applying to and hired at the highest need schools as compared to lower need schools.</w:t>
            </w:r>
          </w:p>
        </w:tc>
        <w:tc>
          <w:tcPr>
            <w:tcW w:w="5580" w:type="dxa"/>
            <w:shd w:val="clear" w:color="auto" w:fill="B4C6E7" w:themeFill="accent1" w:themeFillTint="66"/>
          </w:tcPr>
          <w:p w14:paraId="379692A7" w14:textId="77777777" w:rsidR="00571DC2" w:rsidRPr="00917AC4" w:rsidRDefault="00571DC2" w:rsidP="00C35653">
            <w:pPr>
              <w:rPr>
                <w:b/>
                <w:color w:val="2F5496" w:themeColor="accent1" w:themeShade="BF"/>
              </w:rPr>
            </w:pPr>
            <w:r w:rsidRPr="00917AC4">
              <w:rPr>
                <w:b/>
                <w:color w:val="2F5496" w:themeColor="accent1" w:themeShade="BF"/>
              </w:rPr>
              <w:t xml:space="preserve">Practice 4: </w:t>
            </w:r>
            <w:r w:rsidRPr="00C35653">
              <w:rPr>
                <w:rFonts w:asciiTheme="majorHAnsi" w:hAnsiTheme="majorHAnsi" w:cstheme="majorHAnsi"/>
                <w:color w:val="2F5496" w:themeColor="accent1" w:themeShade="BF"/>
              </w:rPr>
              <w:t>The LEA tracks the performance of first-year educators by their educator preparation provider. The LEA gives feedback to preparation providers on the readiness of recent graduates, and whether/how their certification areas meet LEA needs.</w:t>
            </w:r>
          </w:p>
        </w:tc>
      </w:tr>
      <w:tr w:rsidR="00571DC2" w:rsidRPr="00A44451" w14:paraId="221879AF" w14:textId="77777777" w:rsidTr="00C35653">
        <w:tc>
          <w:tcPr>
            <w:tcW w:w="5485" w:type="dxa"/>
          </w:tcPr>
          <w:p w14:paraId="50AFF6BB" w14:textId="77777777" w:rsidR="00571DC2" w:rsidRDefault="00571DC2" w:rsidP="00C35653">
            <w:pPr>
              <w:rPr>
                <w:b/>
              </w:rPr>
            </w:pPr>
            <w:r>
              <w:rPr>
                <w:b/>
              </w:rPr>
              <w:t>Look-</w:t>
            </w:r>
            <w:proofErr w:type="spellStart"/>
            <w:r>
              <w:rPr>
                <w:b/>
              </w:rPr>
              <w:t>fors</w:t>
            </w:r>
            <w:proofErr w:type="spellEnd"/>
            <w:r>
              <w:rPr>
                <w:b/>
              </w:rPr>
              <w:t>:</w:t>
            </w:r>
          </w:p>
          <w:p w14:paraId="099940A0" w14:textId="77777777" w:rsidR="00571DC2" w:rsidRPr="00917AC4" w:rsidRDefault="00571DC2" w:rsidP="00C35653">
            <w:pPr>
              <w:pStyle w:val="ListParagraph"/>
              <w:numPr>
                <w:ilvl w:val="0"/>
                <w:numId w:val="3"/>
              </w:numPr>
            </w:pPr>
            <w:r>
              <w:t xml:space="preserve">The highest need schools use of strategies such as early hiring, teacher leadership positions, or early recruitment of </w:t>
            </w:r>
            <w:r w:rsidRPr="00917AC4">
              <w:t>effective student teachers.</w:t>
            </w:r>
          </w:p>
          <w:p w14:paraId="5750E1B0" w14:textId="77777777" w:rsidR="00571DC2" w:rsidRPr="00917AC4" w:rsidRDefault="00571DC2" w:rsidP="00C35653">
            <w:pPr>
              <w:pStyle w:val="ListParagraph"/>
              <w:numPr>
                <w:ilvl w:val="0"/>
                <w:numId w:val="3"/>
              </w:numPr>
            </w:pPr>
            <w:r w:rsidRPr="00917AC4">
              <w:t>The LEA identifies candidates who are a good fit for high need schools and refers them to openings at these schools.</w:t>
            </w:r>
          </w:p>
          <w:p w14:paraId="54EEF32E" w14:textId="77777777" w:rsidR="00571DC2" w:rsidRPr="00917AC4" w:rsidRDefault="00571DC2" w:rsidP="00C35653">
            <w:pPr>
              <w:pStyle w:val="ListParagraph"/>
              <w:numPr>
                <w:ilvl w:val="0"/>
                <w:numId w:val="3"/>
              </w:numPr>
            </w:pPr>
            <w:r>
              <w:t>Any applicants to the LEA can be considered for openings at the highest need schools.</w:t>
            </w:r>
          </w:p>
          <w:p w14:paraId="6DF4082C" w14:textId="77777777" w:rsidR="00571DC2" w:rsidRDefault="00571DC2" w:rsidP="00C35653">
            <w:pPr>
              <w:pStyle w:val="ListParagraph"/>
              <w:numPr>
                <w:ilvl w:val="0"/>
                <w:numId w:val="3"/>
              </w:numPr>
            </w:pPr>
            <w:r w:rsidRPr="00917AC4">
              <w:t xml:space="preserve">The recent hires at the highest need schools are at least as effective as those at </w:t>
            </w:r>
            <w:r>
              <w:t>other schools (e.g., by evaluation, observation and growth measures).</w:t>
            </w:r>
          </w:p>
          <w:p w14:paraId="45EA5F5E" w14:textId="77777777" w:rsidR="00571DC2" w:rsidRPr="00FF098E" w:rsidRDefault="00571DC2" w:rsidP="00C35653">
            <w:pPr>
              <w:pStyle w:val="ListParagraph"/>
              <w:numPr>
                <w:ilvl w:val="0"/>
                <w:numId w:val="3"/>
              </w:numPr>
            </w:pPr>
            <w:r>
              <w:t>Leaders of the highest need schools report that the applicant pool meets their schools’ needs.</w:t>
            </w:r>
          </w:p>
        </w:tc>
        <w:tc>
          <w:tcPr>
            <w:tcW w:w="5580" w:type="dxa"/>
          </w:tcPr>
          <w:p w14:paraId="4B597BD4" w14:textId="77777777" w:rsidR="00571DC2" w:rsidRDefault="00571DC2" w:rsidP="00C35653">
            <w:pPr>
              <w:rPr>
                <w:b/>
              </w:rPr>
            </w:pPr>
            <w:r>
              <w:rPr>
                <w:b/>
              </w:rPr>
              <w:t>Look-</w:t>
            </w:r>
            <w:proofErr w:type="spellStart"/>
            <w:r>
              <w:rPr>
                <w:b/>
              </w:rPr>
              <w:t>fors</w:t>
            </w:r>
            <w:proofErr w:type="spellEnd"/>
            <w:r>
              <w:rPr>
                <w:b/>
              </w:rPr>
              <w:t>:</w:t>
            </w:r>
          </w:p>
          <w:p w14:paraId="42F05652" w14:textId="77777777" w:rsidR="00571DC2" w:rsidRDefault="00571DC2" w:rsidP="00C35653">
            <w:pPr>
              <w:pStyle w:val="ListParagraph"/>
              <w:numPr>
                <w:ilvl w:val="0"/>
                <w:numId w:val="3"/>
              </w:numPr>
            </w:pPr>
            <w:r>
              <w:t>The LEA keeps and uses data on performance (e.g., evaluation, observation and growth measures) of new hires, by their preparation provider.</w:t>
            </w:r>
          </w:p>
          <w:p w14:paraId="192C6D9F" w14:textId="77777777" w:rsidR="00571DC2" w:rsidRDefault="00571DC2" w:rsidP="00C35653">
            <w:pPr>
              <w:pStyle w:val="ListParagraph"/>
              <w:numPr>
                <w:ilvl w:val="0"/>
                <w:numId w:val="3"/>
              </w:numPr>
            </w:pPr>
            <w:r>
              <w:t xml:space="preserve">Partnerships are structured to be sustainable, rather than based on relationships with one individual in the LEA. </w:t>
            </w:r>
          </w:p>
          <w:p w14:paraId="58761A78" w14:textId="77777777" w:rsidR="00571DC2" w:rsidRDefault="00571DC2" w:rsidP="00C35653">
            <w:pPr>
              <w:pStyle w:val="ListParagraph"/>
              <w:numPr>
                <w:ilvl w:val="0"/>
                <w:numId w:val="3"/>
              </w:numPr>
            </w:pPr>
            <w:r>
              <w:t>The LEA and its leaders from its primary preparation providers communicate at least annually about how the preparation providers can better prepare educators to meet the LEA’s needs.</w:t>
            </w:r>
          </w:p>
          <w:p w14:paraId="45E23FCA" w14:textId="77777777" w:rsidR="00571DC2" w:rsidRDefault="00571DC2" w:rsidP="00C35653">
            <w:pPr>
              <w:pStyle w:val="ListParagraph"/>
              <w:numPr>
                <w:ilvl w:val="0"/>
                <w:numId w:val="3"/>
              </w:numPr>
            </w:pPr>
            <w:r>
              <w:t>Preparation providers are aware of what certification areas are in highest demand at the LEA.</w:t>
            </w:r>
          </w:p>
          <w:p w14:paraId="13B60C31" w14:textId="77777777" w:rsidR="00571DC2" w:rsidRDefault="00571DC2" w:rsidP="00C35653">
            <w:pPr>
              <w:pStyle w:val="ListParagraph"/>
              <w:numPr>
                <w:ilvl w:val="0"/>
                <w:numId w:val="3"/>
              </w:numPr>
            </w:pPr>
            <w:r>
              <w:t>Preparation providers communicate how they have adjusted to better meet the LEA’s needs.</w:t>
            </w:r>
          </w:p>
          <w:p w14:paraId="49FE652E" w14:textId="77777777" w:rsidR="00571DC2" w:rsidRDefault="00571DC2" w:rsidP="00C35653">
            <w:pPr>
              <w:pStyle w:val="ListParagraph"/>
              <w:numPr>
                <w:ilvl w:val="0"/>
                <w:numId w:val="3"/>
              </w:numPr>
            </w:pPr>
            <w:r>
              <w:t>The LEA tracks the quality of its student teachers</w:t>
            </w:r>
            <w:r w:rsidRPr="7567A8D8">
              <w:t>’</w:t>
            </w:r>
            <w:r>
              <w:t xml:space="preserve"> performance, and successfully recruits high performing student teachers when job openings are available—especially in shortage subjects.</w:t>
            </w:r>
          </w:p>
          <w:p w14:paraId="3F7C6416" w14:textId="77777777" w:rsidR="00571DC2" w:rsidRPr="00A44451" w:rsidRDefault="00571DC2" w:rsidP="00C35653">
            <w:pPr>
              <w:pStyle w:val="ListParagraph"/>
              <w:numPr>
                <w:ilvl w:val="0"/>
                <w:numId w:val="3"/>
              </w:numPr>
            </w:pPr>
            <w:r>
              <w:t xml:space="preserve">LEA and preparation program have a partnership agreement that formalizes how they communicate and collaborate. </w:t>
            </w:r>
          </w:p>
        </w:tc>
      </w:tr>
      <w:tr w:rsidR="00571DC2" w:rsidRPr="00653B8E" w14:paraId="5F5CA254" w14:textId="77777777" w:rsidTr="003A5BB5">
        <w:tc>
          <w:tcPr>
            <w:tcW w:w="11065" w:type="dxa"/>
            <w:gridSpan w:val="2"/>
            <w:shd w:val="clear" w:color="auto" w:fill="B4C6E7" w:themeFill="accent1" w:themeFillTint="66"/>
          </w:tcPr>
          <w:p w14:paraId="2000F250" w14:textId="77777777" w:rsidR="00571DC2" w:rsidRPr="00653B8E" w:rsidRDefault="00571DC2" w:rsidP="00C35653">
            <w:r w:rsidRPr="00917AC4">
              <w:rPr>
                <w:b/>
                <w:color w:val="2F5496" w:themeColor="accent1" w:themeShade="BF"/>
              </w:rPr>
              <w:t xml:space="preserve">Practice 5: </w:t>
            </w:r>
            <w:r w:rsidRPr="00F44009">
              <w:rPr>
                <w:color w:val="2F5496" w:themeColor="accent1" w:themeShade="BF"/>
              </w:rPr>
              <w:t>Hiring and selection processes are consistent across schools. The LEA provides training to school leaders and other hiring team members on effective interview questions, evaluation of demonstration lessons, and assessment of candidate skills aligned to school needs.</w:t>
            </w:r>
            <w:r w:rsidRPr="00917AC4">
              <w:rPr>
                <w:color w:val="2F5496" w:themeColor="accent1" w:themeShade="BF"/>
              </w:rPr>
              <w:t xml:space="preserve"> </w:t>
            </w:r>
          </w:p>
        </w:tc>
      </w:tr>
      <w:tr w:rsidR="00571DC2" w:rsidRPr="00BE1F7E" w14:paraId="16106D23" w14:textId="77777777" w:rsidTr="003A5BB5">
        <w:tc>
          <w:tcPr>
            <w:tcW w:w="11065" w:type="dxa"/>
            <w:gridSpan w:val="2"/>
          </w:tcPr>
          <w:p w14:paraId="7FCC645A" w14:textId="77777777" w:rsidR="00571DC2" w:rsidRDefault="00571DC2" w:rsidP="00C35653">
            <w:pPr>
              <w:rPr>
                <w:b/>
              </w:rPr>
            </w:pPr>
            <w:r>
              <w:rPr>
                <w:b/>
              </w:rPr>
              <w:t>Look-</w:t>
            </w:r>
            <w:proofErr w:type="spellStart"/>
            <w:r>
              <w:rPr>
                <w:b/>
              </w:rPr>
              <w:t>fors</w:t>
            </w:r>
            <w:proofErr w:type="spellEnd"/>
            <w:r>
              <w:rPr>
                <w:b/>
              </w:rPr>
              <w:t>:</w:t>
            </w:r>
          </w:p>
          <w:p w14:paraId="5F32C9DA" w14:textId="77777777" w:rsidR="00571DC2" w:rsidRPr="00917AC4" w:rsidRDefault="00571DC2" w:rsidP="00C35653">
            <w:pPr>
              <w:pStyle w:val="ListParagraph"/>
              <w:numPr>
                <w:ilvl w:val="0"/>
                <w:numId w:val="3"/>
              </w:numPr>
            </w:pPr>
            <w:r w:rsidRPr="00917AC4">
              <w:rPr>
                <w:rFonts w:asciiTheme="majorHAnsi" w:hAnsiTheme="majorHAnsi" w:cstheme="majorBidi"/>
              </w:rPr>
              <w:t>Across the LEA, hiring team members have a unified vision of what makes an effective educator.</w:t>
            </w:r>
          </w:p>
          <w:p w14:paraId="3A76A575" w14:textId="77777777" w:rsidR="00571DC2" w:rsidRDefault="00571DC2" w:rsidP="00C35653">
            <w:pPr>
              <w:pStyle w:val="ListParagraph"/>
              <w:numPr>
                <w:ilvl w:val="0"/>
                <w:numId w:val="3"/>
              </w:numPr>
            </w:pPr>
            <w:r w:rsidRPr="00917AC4">
              <w:t>The hiring process includes a skills assessment</w:t>
            </w:r>
            <w:r>
              <w:t xml:space="preserve"> (i.e.</w:t>
            </w:r>
            <w:r w:rsidRPr="00917AC4">
              <w:t xml:space="preserve">, demonstration lesson; </w:t>
            </w:r>
            <w:r>
              <w:t xml:space="preserve">performance task; </w:t>
            </w:r>
            <w:r w:rsidRPr="00917AC4">
              <w:t>mock observation and feedback)</w:t>
            </w:r>
            <w:r>
              <w:t xml:space="preserve"> and aligned scoring rubric</w:t>
            </w:r>
          </w:p>
          <w:p w14:paraId="74B65D9B" w14:textId="77777777" w:rsidR="00571DC2" w:rsidRDefault="00571DC2" w:rsidP="00C35653">
            <w:pPr>
              <w:pStyle w:val="ListParagraph"/>
              <w:numPr>
                <w:ilvl w:val="0"/>
                <w:numId w:val="3"/>
              </w:numPr>
            </w:pPr>
            <w:r w:rsidRPr="00917AC4">
              <w:t>Hiring teams use the same interview materials and other hiring protocols across the LEA (with some room for individualization as necessary).</w:t>
            </w:r>
            <w:r>
              <w:t xml:space="preserve"> The LEA regularly reviews hiring materials and </w:t>
            </w:r>
            <w:proofErr w:type="gramStart"/>
            <w:r>
              <w:t>protocols, and</w:t>
            </w:r>
            <w:proofErr w:type="gramEnd"/>
            <w:r>
              <w:t xml:space="preserve"> revises as necessary to reflect schools’ needs.</w:t>
            </w:r>
          </w:p>
          <w:p w14:paraId="1331F6ED" w14:textId="77777777" w:rsidR="00571DC2" w:rsidRPr="00917AC4" w:rsidRDefault="00571DC2" w:rsidP="00C35653">
            <w:pPr>
              <w:pStyle w:val="ListParagraph"/>
              <w:numPr>
                <w:ilvl w:val="0"/>
                <w:numId w:val="3"/>
              </w:numPr>
            </w:pPr>
            <w:r>
              <w:t>The LEA uses new technologies, like video-recorded interviews.</w:t>
            </w:r>
          </w:p>
          <w:p w14:paraId="7EDAA00F" w14:textId="77777777" w:rsidR="00571DC2" w:rsidRDefault="00571DC2" w:rsidP="00C35653">
            <w:pPr>
              <w:pStyle w:val="ListParagraph"/>
              <w:numPr>
                <w:ilvl w:val="0"/>
                <w:numId w:val="3"/>
              </w:numPr>
            </w:pPr>
            <w:r>
              <w:t>The LEA provides regular training to hiring team members on the hiring practices listed above, as well as other best practices.</w:t>
            </w:r>
          </w:p>
          <w:p w14:paraId="243B67F8" w14:textId="77777777" w:rsidR="00571DC2" w:rsidRPr="00BE1F7E" w:rsidRDefault="00571DC2" w:rsidP="00C35653">
            <w:pPr>
              <w:pStyle w:val="ListParagraph"/>
              <w:numPr>
                <w:ilvl w:val="0"/>
                <w:numId w:val="3"/>
              </w:numPr>
            </w:pPr>
            <w:r w:rsidRPr="00917AC4">
              <w:t>Hiring team members report that they are well-prepared and supported.</w:t>
            </w:r>
          </w:p>
        </w:tc>
      </w:tr>
    </w:tbl>
    <w:p w14:paraId="3D73A844" w14:textId="77777777" w:rsidR="00D67526" w:rsidRDefault="00D67526"/>
    <w:p w14:paraId="1FF296CC" w14:textId="6024CE7A" w:rsidR="009A78BC" w:rsidRDefault="009A78BC"/>
    <w:p w14:paraId="7F121441" w14:textId="739FFE11" w:rsidR="0051692F" w:rsidRDefault="0051692F"/>
    <w:p w14:paraId="3C3C250E" w14:textId="6A666B31" w:rsidR="005F56AC" w:rsidRDefault="005F56AC"/>
    <w:tbl>
      <w:tblPr>
        <w:tblStyle w:val="TableGrid"/>
        <w:tblW w:w="11065" w:type="dxa"/>
        <w:tblLook w:val="04A0" w:firstRow="1" w:lastRow="0" w:firstColumn="1" w:lastColumn="0" w:noHBand="0" w:noVBand="1"/>
      </w:tblPr>
      <w:tblGrid>
        <w:gridCol w:w="5485"/>
        <w:gridCol w:w="5580"/>
      </w:tblGrid>
      <w:tr w:rsidR="005F56AC" w14:paraId="207FBB0D" w14:textId="77777777" w:rsidTr="00C35653">
        <w:tc>
          <w:tcPr>
            <w:tcW w:w="11065" w:type="dxa"/>
            <w:gridSpan w:val="2"/>
            <w:shd w:val="clear" w:color="auto" w:fill="B4C6E7" w:themeFill="accent1" w:themeFillTint="66"/>
          </w:tcPr>
          <w:p w14:paraId="6F801A59" w14:textId="77777777" w:rsidR="005F56AC" w:rsidRDefault="005F56AC" w:rsidP="00C35653">
            <w:pPr>
              <w:jc w:val="center"/>
            </w:pPr>
            <w:r>
              <w:rPr>
                <w:rFonts w:asciiTheme="majorHAnsi" w:hAnsiTheme="majorHAnsi" w:cstheme="majorHAnsi"/>
                <w:b/>
                <w:color w:val="2F5496" w:themeColor="accent1" w:themeShade="BF"/>
                <w:sz w:val="30"/>
                <w:szCs w:val="30"/>
              </w:rPr>
              <w:t xml:space="preserve">II. </w:t>
            </w:r>
            <w:r w:rsidRPr="00AD3C2D">
              <w:rPr>
                <w:rFonts w:asciiTheme="majorHAnsi" w:hAnsiTheme="majorHAnsi" w:cstheme="majorHAnsi"/>
                <w:b/>
                <w:color w:val="2F5496" w:themeColor="accent1" w:themeShade="BF"/>
                <w:sz w:val="30"/>
                <w:szCs w:val="30"/>
              </w:rPr>
              <w:t>EDUCATOR PLACEMENT</w:t>
            </w:r>
          </w:p>
        </w:tc>
      </w:tr>
      <w:tr w:rsidR="005F56AC" w:rsidRPr="009644F7" w14:paraId="1EE033AC" w14:textId="77777777" w:rsidTr="00C35653">
        <w:tc>
          <w:tcPr>
            <w:tcW w:w="5485" w:type="dxa"/>
            <w:shd w:val="clear" w:color="auto" w:fill="B4C6E7" w:themeFill="accent1" w:themeFillTint="66"/>
          </w:tcPr>
          <w:p w14:paraId="5F3798CB" w14:textId="26F8CF0C" w:rsidR="005F56AC" w:rsidRPr="009644F7" w:rsidRDefault="005F56AC" w:rsidP="00C35653">
            <w:pPr>
              <w:rPr>
                <w:rFonts w:asciiTheme="majorHAnsi" w:hAnsiTheme="majorHAnsi" w:cstheme="majorHAnsi"/>
                <w:color w:val="2F5496" w:themeColor="accent1" w:themeShade="BF"/>
              </w:rPr>
            </w:pPr>
            <w:r w:rsidRPr="009644F7">
              <w:rPr>
                <w:rFonts w:asciiTheme="majorHAnsi" w:hAnsiTheme="majorHAnsi" w:cstheme="majorHAnsi"/>
                <w:b/>
                <w:color w:val="2F5496" w:themeColor="accent1" w:themeShade="BF"/>
              </w:rPr>
              <w:t xml:space="preserve">Practice 1: </w:t>
            </w:r>
            <w:r w:rsidRPr="00F44009">
              <w:rPr>
                <w:rFonts w:asciiTheme="majorHAnsi" w:hAnsiTheme="majorHAnsi" w:cstheme="majorHAnsi"/>
                <w:color w:val="2F5496" w:themeColor="accent1" w:themeShade="BF"/>
              </w:rPr>
              <w:t xml:space="preserve">The LEA ensures that historically underserved </w:t>
            </w:r>
            <w:r w:rsidR="006A7E79" w:rsidRPr="00F44009">
              <w:rPr>
                <w:rFonts w:asciiTheme="majorHAnsi" w:hAnsiTheme="majorHAnsi" w:cstheme="majorHAnsi"/>
                <w:color w:val="2F5496" w:themeColor="accent1" w:themeShade="BF"/>
              </w:rPr>
              <w:t>student groups</w:t>
            </w:r>
            <w:r w:rsidRPr="00F44009">
              <w:rPr>
                <w:rFonts w:asciiTheme="majorHAnsi" w:hAnsiTheme="majorHAnsi" w:cstheme="majorHAnsi"/>
                <w:color w:val="2F5496" w:themeColor="accent1" w:themeShade="BF"/>
              </w:rPr>
              <w:t xml:space="preserve"> have equitable access to educators who are experienced, </w:t>
            </w:r>
            <w:r w:rsidR="00060FDB" w:rsidRPr="00F44009">
              <w:rPr>
                <w:rFonts w:asciiTheme="majorHAnsi" w:hAnsiTheme="majorHAnsi" w:cstheme="majorHAnsi"/>
                <w:color w:val="2F5496" w:themeColor="accent1" w:themeShade="BF"/>
              </w:rPr>
              <w:t>in field</w:t>
            </w:r>
            <w:r w:rsidRPr="00F44009">
              <w:rPr>
                <w:rFonts w:asciiTheme="majorHAnsi" w:hAnsiTheme="majorHAnsi" w:cstheme="majorHAnsi"/>
                <w:color w:val="2F5496" w:themeColor="accent1" w:themeShade="BF"/>
              </w:rPr>
              <w:t>, and effective.</w:t>
            </w:r>
          </w:p>
        </w:tc>
        <w:tc>
          <w:tcPr>
            <w:tcW w:w="5580" w:type="dxa"/>
            <w:shd w:val="clear" w:color="auto" w:fill="B4C6E7" w:themeFill="accent1" w:themeFillTint="66"/>
          </w:tcPr>
          <w:p w14:paraId="72ED90FD" w14:textId="77777777" w:rsidR="005F56AC" w:rsidRPr="009644F7" w:rsidRDefault="005F56AC" w:rsidP="00C35653">
            <w:pPr>
              <w:rPr>
                <w:rFonts w:asciiTheme="majorHAnsi" w:hAnsiTheme="majorHAnsi" w:cstheme="majorHAnsi"/>
                <w:color w:val="2F5496" w:themeColor="accent1" w:themeShade="BF"/>
              </w:rPr>
            </w:pPr>
            <w:r w:rsidRPr="009644F7">
              <w:rPr>
                <w:rFonts w:asciiTheme="majorHAnsi" w:hAnsiTheme="majorHAnsi" w:cstheme="majorHAnsi"/>
                <w:b/>
                <w:color w:val="2F5496" w:themeColor="accent1" w:themeShade="BF"/>
              </w:rPr>
              <w:t xml:space="preserve">Practice 2: </w:t>
            </w:r>
            <w:r w:rsidRPr="009644F7">
              <w:rPr>
                <w:rFonts w:asciiTheme="majorHAnsi" w:hAnsiTheme="majorHAnsi" w:cstheme="majorHAnsi"/>
                <w:color w:val="2F5496" w:themeColor="accent1" w:themeShade="BF"/>
              </w:rPr>
              <w:t>Teacher and student assignments are based on demonstrated teacher ability and student need.</w:t>
            </w:r>
          </w:p>
        </w:tc>
      </w:tr>
      <w:tr w:rsidR="005F56AC" w:rsidRPr="00E87C25" w14:paraId="428C8FFD" w14:textId="77777777" w:rsidTr="00C35653">
        <w:tc>
          <w:tcPr>
            <w:tcW w:w="5485" w:type="dxa"/>
          </w:tcPr>
          <w:p w14:paraId="1A2B0768" w14:textId="77777777" w:rsidR="005F56AC" w:rsidRPr="00A14710" w:rsidRDefault="005F56AC" w:rsidP="00C35653">
            <w:pPr>
              <w:tabs>
                <w:tab w:val="center" w:pos="2229"/>
              </w:tabs>
            </w:pPr>
            <w:r>
              <w:rPr>
                <w:b/>
              </w:rPr>
              <w:t>Look-</w:t>
            </w:r>
            <w:proofErr w:type="spellStart"/>
            <w:r>
              <w:rPr>
                <w:b/>
              </w:rPr>
              <w:t>fors</w:t>
            </w:r>
            <w:proofErr w:type="spellEnd"/>
            <w:r>
              <w:rPr>
                <w:b/>
              </w:rPr>
              <w:t>:</w:t>
            </w:r>
            <w:r w:rsidRPr="00A14710">
              <w:tab/>
            </w:r>
          </w:p>
          <w:p w14:paraId="7FC7E3EA" w14:textId="0D3FAECF" w:rsidR="005F56AC" w:rsidRDefault="005F56AC" w:rsidP="00C35653">
            <w:pPr>
              <w:pStyle w:val="ListParagraph"/>
              <w:numPr>
                <w:ilvl w:val="0"/>
                <w:numId w:val="3"/>
              </w:numPr>
              <w:tabs>
                <w:tab w:val="center" w:pos="2229"/>
              </w:tabs>
            </w:pPr>
            <w:r>
              <w:t xml:space="preserve">The LEA tracks the rates of experienced, </w:t>
            </w:r>
            <w:r w:rsidR="00060FDB">
              <w:t>in field</w:t>
            </w:r>
            <w:r>
              <w:t>, and effective educators assigned across the LEA’s schools with the highest and lowest proportions of students in poverty and/or students of color.</w:t>
            </w:r>
          </w:p>
          <w:p w14:paraId="327F7E9F" w14:textId="4E268C5F" w:rsidR="005F56AC" w:rsidRDefault="005F56AC" w:rsidP="00C35653">
            <w:pPr>
              <w:pStyle w:val="ListParagraph"/>
              <w:numPr>
                <w:ilvl w:val="0"/>
                <w:numId w:val="3"/>
              </w:numPr>
              <w:tabs>
                <w:tab w:val="center" w:pos="2229"/>
              </w:tabs>
            </w:pPr>
            <w:r>
              <w:t xml:space="preserve">The LEA designs and tracks the progress of strategies to increase equitable access to experienced, </w:t>
            </w:r>
            <w:r w:rsidR="00060FDB">
              <w:t>in field</w:t>
            </w:r>
            <w:r>
              <w:t xml:space="preserve"> and effective educators (e.g., increasing effectiveness of educators at high poverty/high minority schools; retaining high performing, inexperienced educators to increase the number of experienced educators at these schools).</w:t>
            </w:r>
          </w:p>
          <w:p w14:paraId="602961EB" w14:textId="2979C4B2" w:rsidR="005F56AC" w:rsidRDefault="005F56AC" w:rsidP="00C35653">
            <w:pPr>
              <w:pStyle w:val="ListParagraph"/>
              <w:numPr>
                <w:ilvl w:val="0"/>
                <w:numId w:val="3"/>
              </w:numPr>
              <w:tabs>
                <w:tab w:val="center" w:pos="2229"/>
              </w:tabs>
            </w:pPr>
            <w:r>
              <w:t xml:space="preserve">Teachers who are experienced, </w:t>
            </w:r>
            <w:r w:rsidR="00060FDB">
              <w:t>in field</w:t>
            </w:r>
            <w:r>
              <w:t>, and effective do not teach advanced/honors courses at higher rates than other teachers</w:t>
            </w:r>
            <w:r w:rsidR="006A279D">
              <w:t xml:space="preserve">, especially if historically underserved student groups </w:t>
            </w:r>
            <w:r w:rsidR="008341AB">
              <w:t>take such courses at low rates.</w:t>
            </w:r>
          </w:p>
          <w:p w14:paraId="2E9E4B24" w14:textId="4267850A" w:rsidR="005F56AC" w:rsidRPr="00F643EF" w:rsidRDefault="005F56AC" w:rsidP="00C35653">
            <w:pPr>
              <w:pStyle w:val="ListParagraph"/>
              <w:numPr>
                <w:ilvl w:val="0"/>
                <w:numId w:val="3"/>
              </w:numPr>
              <w:tabs>
                <w:tab w:val="center" w:pos="2229"/>
              </w:tabs>
            </w:pPr>
            <w:r>
              <w:t>The LEA supports</w:t>
            </w:r>
            <w:r w:rsidRPr="070AEE22">
              <w:t xml:space="preserve"> </w:t>
            </w:r>
            <w:r>
              <w:t xml:space="preserve">and incentivizes teachers obtaining additional licenses </w:t>
            </w:r>
            <w:r w:rsidR="00060FDB">
              <w:t>to gain in field status</w:t>
            </w:r>
            <w:r>
              <w:t xml:space="preserve"> in shortage subjects, especially in high poverty/high minority schools (i.e., with tuition assistance or flexible schedules).</w:t>
            </w:r>
            <w:r w:rsidRPr="070AEE22">
              <w:t xml:space="preserve"> </w:t>
            </w:r>
          </w:p>
        </w:tc>
        <w:tc>
          <w:tcPr>
            <w:tcW w:w="5580" w:type="dxa"/>
          </w:tcPr>
          <w:p w14:paraId="09B56498" w14:textId="77777777" w:rsidR="005F56AC" w:rsidRDefault="005F56AC" w:rsidP="00C35653">
            <w:r>
              <w:rPr>
                <w:b/>
              </w:rPr>
              <w:t>Look-</w:t>
            </w:r>
            <w:proofErr w:type="spellStart"/>
            <w:r>
              <w:rPr>
                <w:b/>
              </w:rPr>
              <w:t>fors</w:t>
            </w:r>
            <w:proofErr w:type="spellEnd"/>
            <w:r>
              <w:t>:</w:t>
            </w:r>
          </w:p>
          <w:p w14:paraId="0EE0DDC2" w14:textId="77777777" w:rsidR="005F56AC" w:rsidRDefault="005F56AC" w:rsidP="00C35653">
            <w:pPr>
              <w:pStyle w:val="ListParagraph"/>
              <w:numPr>
                <w:ilvl w:val="0"/>
                <w:numId w:val="3"/>
              </w:numPr>
            </w:pPr>
            <w:r>
              <w:t>Educators with more experience in the school/LEA are not automatically given “preferred” assignments.</w:t>
            </w:r>
          </w:p>
          <w:p w14:paraId="63A81A57" w14:textId="77777777" w:rsidR="005F56AC" w:rsidRDefault="005F56AC" w:rsidP="00C35653">
            <w:pPr>
              <w:pStyle w:val="ListParagraph"/>
              <w:numPr>
                <w:ilvl w:val="0"/>
                <w:numId w:val="3"/>
              </w:numPr>
            </w:pPr>
            <w:r>
              <w:t>Teacher and/or parent requests are not primary factors in making class assignments.</w:t>
            </w:r>
          </w:p>
          <w:p w14:paraId="430764A8" w14:textId="77777777" w:rsidR="005F56AC" w:rsidRDefault="005F56AC" w:rsidP="00C35653">
            <w:pPr>
              <w:pStyle w:val="ListParagraph"/>
              <w:numPr>
                <w:ilvl w:val="0"/>
                <w:numId w:val="3"/>
              </w:numPr>
            </w:pPr>
            <w:r>
              <w:t>The LEA has consistent processes and priorities for determining teacher and student assignments.</w:t>
            </w:r>
          </w:p>
          <w:p w14:paraId="0DAD4DD6" w14:textId="77777777" w:rsidR="005F56AC" w:rsidRDefault="005F56AC" w:rsidP="00C35653">
            <w:pPr>
              <w:pStyle w:val="ListParagraph"/>
              <w:numPr>
                <w:ilvl w:val="0"/>
                <w:numId w:val="3"/>
              </w:numPr>
            </w:pPr>
            <w:r>
              <w:t>Collective bargaining agreements provide advantages to higher need schools in teacher placement.</w:t>
            </w:r>
          </w:p>
          <w:p w14:paraId="4C8FC530" w14:textId="3E25F8B9" w:rsidR="005F56AC" w:rsidRPr="00E87C25" w:rsidRDefault="005F56AC" w:rsidP="00C35653">
            <w:pPr>
              <w:pStyle w:val="ListParagraph"/>
              <w:numPr>
                <w:ilvl w:val="0"/>
                <w:numId w:val="3"/>
              </w:numPr>
            </w:pPr>
            <w:r>
              <w:t>The LEA offers incentives for effective teachers to mo</w:t>
            </w:r>
            <w:r w:rsidR="00A2717B">
              <w:t>v</w:t>
            </w:r>
            <w:bookmarkStart w:id="0" w:name="_GoBack"/>
            <w:bookmarkEnd w:id="0"/>
            <w:r>
              <w:t>e to higher need schools (i.e., stipends for additional leadership roles).</w:t>
            </w:r>
          </w:p>
        </w:tc>
      </w:tr>
    </w:tbl>
    <w:p w14:paraId="1D70C519" w14:textId="0A460D4B" w:rsidR="005F56AC" w:rsidRDefault="005F56AC"/>
    <w:p w14:paraId="3C78A9D6" w14:textId="7C183FAE" w:rsidR="005F56AC" w:rsidRDefault="005F56AC"/>
    <w:p w14:paraId="495002ED" w14:textId="1D8D1CBC" w:rsidR="005F56AC" w:rsidRDefault="005F56AC"/>
    <w:p w14:paraId="49941B95" w14:textId="51F30150" w:rsidR="005F56AC" w:rsidRDefault="005F56AC"/>
    <w:p w14:paraId="72864043" w14:textId="235C4141" w:rsidR="005F56AC" w:rsidRDefault="005F56AC"/>
    <w:p w14:paraId="25401848" w14:textId="26F04871" w:rsidR="005F56AC" w:rsidRDefault="005F56AC"/>
    <w:p w14:paraId="6B17D90F" w14:textId="0CEF15A1" w:rsidR="005F56AC" w:rsidRDefault="005F56AC"/>
    <w:p w14:paraId="4B1D7AA9" w14:textId="44F76F93" w:rsidR="005F56AC" w:rsidRDefault="005F56AC"/>
    <w:p w14:paraId="63802D7F" w14:textId="475E4BD6" w:rsidR="005F56AC" w:rsidRDefault="005F56AC"/>
    <w:p w14:paraId="07901D66" w14:textId="0DD35CBF" w:rsidR="005F56AC" w:rsidRDefault="005F56AC"/>
    <w:p w14:paraId="0099D139" w14:textId="27FC3646" w:rsidR="00294902" w:rsidRDefault="00294902"/>
    <w:p w14:paraId="11BAE89C" w14:textId="77777777" w:rsidR="00294902" w:rsidRDefault="00294902"/>
    <w:p w14:paraId="1338301C" w14:textId="6D9A54D2" w:rsidR="005F56AC" w:rsidRDefault="005F56AC"/>
    <w:p w14:paraId="53023A11" w14:textId="14A25032" w:rsidR="009A78BC" w:rsidRDefault="009A78BC"/>
    <w:tbl>
      <w:tblPr>
        <w:tblStyle w:val="TableGrid"/>
        <w:tblW w:w="11065" w:type="dxa"/>
        <w:tblLook w:val="04A0" w:firstRow="1" w:lastRow="0" w:firstColumn="1" w:lastColumn="0" w:noHBand="0" w:noVBand="1"/>
      </w:tblPr>
      <w:tblGrid>
        <w:gridCol w:w="5485"/>
        <w:gridCol w:w="5580"/>
      </w:tblGrid>
      <w:tr w:rsidR="009A78BC" w14:paraId="68BBDA09" w14:textId="77777777" w:rsidTr="00373C84">
        <w:tc>
          <w:tcPr>
            <w:tcW w:w="11065" w:type="dxa"/>
            <w:gridSpan w:val="2"/>
            <w:shd w:val="clear" w:color="auto" w:fill="B4C6E7" w:themeFill="accent1" w:themeFillTint="66"/>
          </w:tcPr>
          <w:p w14:paraId="43492922" w14:textId="32580922" w:rsidR="009A78BC" w:rsidRDefault="007C29E8" w:rsidP="006E75E6">
            <w:pPr>
              <w:jc w:val="center"/>
            </w:pPr>
            <w:r>
              <w:rPr>
                <w:rFonts w:asciiTheme="majorHAnsi" w:hAnsiTheme="majorHAnsi" w:cstheme="majorHAnsi"/>
                <w:b/>
                <w:color w:val="2F5496" w:themeColor="accent1" w:themeShade="BF"/>
                <w:sz w:val="30"/>
                <w:szCs w:val="30"/>
              </w:rPr>
              <w:t xml:space="preserve">III. </w:t>
            </w:r>
            <w:r w:rsidR="001961EF">
              <w:rPr>
                <w:rFonts w:asciiTheme="majorHAnsi" w:hAnsiTheme="majorHAnsi" w:cstheme="majorHAnsi"/>
                <w:b/>
                <w:color w:val="2F5496" w:themeColor="accent1" w:themeShade="BF"/>
                <w:sz w:val="30"/>
                <w:szCs w:val="30"/>
              </w:rPr>
              <w:t>INDUCTION &amp; DEVELOPMENT</w:t>
            </w:r>
          </w:p>
        </w:tc>
      </w:tr>
      <w:tr w:rsidR="009A78BC" w:rsidRPr="00917AC4" w14:paraId="48AD9F43" w14:textId="77777777" w:rsidTr="2076CCA6">
        <w:tc>
          <w:tcPr>
            <w:tcW w:w="5485" w:type="dxa"/>
            <w:shd w:val="clear" w:color="auto" w:fill="B4C6E7" w:themeFill="accent1" w:themeFillTint="66"/>
          </w:tcPr>
          <w:p w14:paraId="09A87F90" w14:textId="2C7B99B0" w:rsidR="009A78BC" w:rsidRPr="00917AC4" w:rsidRDefault="009A78BC" w:rsidP="006E75E6">
            <w:pPr>
              <w:rPr>
                <w:b/>
                <w:color w:val="2F5496" w:themeColor="accent1" w:themeShade="BF"/>
              </w:rPr>
            </w:pPr>
            <w:r w:rsidRPr="00917AC4">
              <w:rPr>
                <w:rFonts w:asciiTheme="majorHAnsi" w:hAnsiTheme="majorHAnsi" w:cstheme="majorHAnsi"/>
                <w:b/>
                <w:color w:val="2F5496" w:themeColor="accent1" w:themeShade="BF"/>
              </w:rPr>
              <w:t xml:space="preserve">Practice 1: </w:t>
            </w:r>
            <w:r w:rsidR="00671587">
              <w:rPr>
                <w:rFonts w:asciiTheme="majorHAnsi" w:hAnsiTheme="majorHAnsi" w:cstheme="majorHAnsi"/>
                <w:color w:val="2F5496" w:themeColor="accent1" w:themeShade="BF"/>
              </w:rPr>
              <w:t xml:space="preserve">The LEA </w:t>
            </w:r>
            <w:r w:rsidR="00EB2492">
              <w:rPr>
                <w:rFonts w:asciiTheme="majorHAnsi" w:hAnsiTheme="majorHAnsi" w:cstheme="majorHAnsi"/>
                <w:color w:val="2F5496" w:themeColor="accent1" w:themeShade="BF"/>
              </w:rPr>
              <w:t>induction</w:t>
            </w:r>
            <w:r w:rsidR="00503E0A">
              <w:rPr>
                <w:rFonts w:asciiTheme="majorHAnsi" w:hAnsiTheme="majorHAnsi" w:cstheme="majorHAnsi"/>
                <w:color w:val="2F5496" w:themeColor="accent1" w:themeShade="BF"/>
              </w:rPr>
              <w:t xml:space="preserve"> program </w:t>
            </w:r>
            <w:r w:rsidR="00EB2492">
              <w:rPr>
                <w:rFonts w:asciiTheme="majorHAnsi" w:hAnsiTheme="majorHAnsi" w:cstheme="majorHAnsi"/>
                <w:color w:val="2F5496" w:themeColor="accent1" w:themeShade="BF"/>
              </w:rPr>
              <w:t xml:space="preserve">for new educators includes </w:t>
            </w:r>
            <w:r w:rsidR="00B84863">
              <w:rPr>
                <w:rFonts w:asciiTheme="majorHAnsi" w:hAnsiTheme="majorHAnsi" w:cstheme="majorHAnsi"/>
                <w:color w:val="2F5496" w:themeColor="accent1" w:themeShade="BF"/>
              </w:rPr>
              <w:t xml:space="preserve">mentoring, </w:t>
            </w:r>
            <w:r w:rsidR="00EB2492">
              <w:rPr>
                <w:rFonts w:asciiTheme="majorHAnsi" w:hAnsiTheme="majorHAnsi" w:cstheme="majorHAnsi"/>
                <w:color w:val="2F5496" w:themeColor="accent1" w:themeShade="BF"/>
              </w:rPr>
              <w:t>incorporates best practices</w:t>
            </w:r>
            <w:r w:rsidR="00B84863">
              <w:rPr>
                <w:rFonts w:asciiTheme="majorHAnsi" w:hAnsiTheme="majorHAnsi" w:cstheme="majorHAnsi"/>
                <w:color w:val="2F5496" w:themeColor="accent1" w:themeShade="BF"/>
              </w:rPr>
              <w:t>, and is designed and revised according to</w:t>
            </w:r>
            <w:r w:rsidR="003C7C7E">
              <w:rPr>
                <w:rFonts w:asciiTheme="majorHAnsi" w:hAnsiTheme="majorHAnsi" w:cstheme="majorHAnsi"/>
                <w:color w:val="2F5496" w:themeColor="accent1" w:themeShade="BF"/>
              </w:rPr>
              <w:t xml:space="preserve"> the needs of new educators.</w:t>
            </w:r>
          </w:p>
        </w:tc>
        <w:tc>
          <w:tcPr>
            <w:tcW w:w="5580" w:type="dxa"/>
            <w:shd w:val="clear" w:color="auto" w:fill="B4C6E7" w:themeFill="accent1" w:themeFillTint="66"/>
          </w:tcPr>
          <w:p w14:paraId="20326732" w14:textId="0A102425" w:rsidR="009A78BC" w:rsidRPr="00917AC4" w:rsidRDefault="009A78BC" w:rsidP="006E75E6">
            <w:pPr>
              <w:rPr>
                <w:color w:val="2F5496" w:themeColor="accent1" w:themeShade="BF"/>
              </w:rPr>
            </w:pPr>
            <w:r w:rsidRPr="00917AC4">
              <w:rPr>
                <w:b/>
                <w:color w:val="2F5496" w:themeColor="accent1" w:themeShade="BF"/>
              </w:rPr>
              <w:t xml:space="preserve">Practice 2: </w:t>
            </w:r>
            <w:r w:rsidR="00E12E34">
              <w:rPr>
                <w:color w:val="2F5496" w:themeColor="accent1" w:themeShade="BF"/>
              </w:rPr>
              <w:t>O</w:t>
            </w:r>
            <w:r w:rsidR="008C3EA4">
              <w:rPr>
                <w:rFonts w:asciiTheme="majorHAnsi" w:hAnsiTheme="majorHAnsi" w:cstheme="majorHAnsi"/>
                <w:color w:val="2F5496" w:themeColor="accent1" w:themeShade="BF"/>
              </w:rPr>
              <w:t xml:space="preserve">bservers provide educators with </w:t>
            </w:r>
            <w:r w:rsidR="00017F8B">
              <w:rPr>
                <w:rFonts w:asciiTheme="majorHAnsi" w:hAnsiTheme="majorHAnsi" w:cstheme="majorHAnsi"/>
                <w:color w:val="2F5496" w:themeColor="accent1" w:themeShade="BF"/>
              </w:rPr>
              <w:t>timely</w:t>
            </w:r>
            <w:r w:rsidR="00570DE3">
              <w:rPr>
                <w:rFonts w:asciiTheme="majorHAnsi" w:hAnsiTheme="majorHAnsi" w:cstheme="majorHAnsi"/>
                <w:color w:val="2F5496" w:themeColor="accent1" w:themeShade="BF"/>
              </w:rPr>
              <w:t xml:space="preserve"> and actiona</w:t>
            </w:r>
            <w:r w:rsidR="00466D0B">
              <w:rPr>
                <w:rFonts w:asciiTheme="majorHAnsi" w:hAnsiTheme="majorHAnsi" w:cstheme="majorHAnsi"/>
                <w:color w:val="2F5496" w:themeColor="accent1" w:themeShade="BF"/>
              </w:rPr>
              <w:t>b</w:t>
            </w:r>
            <w:r w:rsidR="00570DE3">
              <w:rPr>
                <w:rFonts w:asciiTheme="majorHAnsi" w:hAnsiTheme="majorHAnsi" w:cstheme="majorHAnsi"/>
                <w:color w:val="2F5496" w:themeColor="accent1" w:themeShade="BF"/>
              </w:rPr>
              <w:t>l</w:t>
            </w:r>
            <w:r w:rsidR="00466D0B">
              <w:rPr>
                <w:rFonts w:asciiTheme="majorHAnsi" w:hAnsiTheme="majorHAnsi" w:cstheme="majorHAnsi"/>
                <w:color w:val="2F5496" w:themeColor="accent1" w:themeShade="BF"/>
              </w:rPr>
              <w:t>e</w:t>
            </w:r>
            <w:r w:rsidR="00570DE3">
              <w:rPr>
                <w:rFonts w:asciiTheme="majorHAnsi" w:hAnsiTheme="majorHAnsi" w:cstheme="majorHAnsi"/>
                <w:color w:val="2F5496" w:themeColor="accent1" w:themeShade="BF"/>
              </w:rPr>
              <w:t xml:space="preserve"> feedback on their practice.</w:t>
            </w:r>
          </w:p>
        </w:tc>
      </w:tr>
      <w:tr w:rsidR="009A78BC" w:rsidRPr="00E87C25" w14:paraId="21D2D4AD" w14:textId="77777777" w:rsidTr="2076CCA6">
        <w:tc>
          <w:tcPr>
            <w:tcW w:w="5485" w:type="dxa"/>
          </w:tcPr>
          <w:p w14:paraId="47C3ACB9" w14:textId="77777777" w:rsidR="009A78BC" w:rsidRPr="00A14710" w:rsidRDefault="009A78BC" w:rsidP="006E75E6">
            <w:pPr>
              <w:tabs>
                <w:tab w:val="center" w:pos="2229"/>
              </w:tabs>
            </w:pPr>
            <w:r>
              <w:rPr>
                <w:b/>
              </w:rPr>
              <w:t>Look-</w:t>
            </w:r>
            <w:proofErr w:type="spellStart"/>
            <w:r>
              <w:rPr>
                <w:b/>
              </w:rPr>
              <w:t>fors</w:t>
            </w:r>
            <w:proofErr w:type="spellEnd"/>
            <w:r>
              <w:rPr>
                <w:b/>
              </w:rPr>
              <w:t>:</w:t>
            </w:r>
            <w:r w:rsidRPr="00A14710">
              <w:tab/>
            </w:r>
          </w:p>
          <w:p w14:paraId="38C617D0" w14:textId="1A30AFE1" w:rsidR="009A78BC" w:rsidRDefault="00EB2492" w:rsidP="006E75E6">
            <w:pPr>
              <w:pStyle w:val="ListParagraph"/>
              <w:numPr>
                <w:ilvl w:val="0"/>
                <w:numId w:val="3"/>
              </w:numPr>
              <w:tabs>
                <w:tab w:val="center" w:pos="2229"/>
              </w:tabs>
            </w:pPr>
            <w:r>
              <w:t>Mentoring and induction supports last beyond the first year of employment.</w:t>
            </w:r>
          </w:p>
          <w:p w14:paraId="58D806D4" w14:textId="5C338930" w:rsidR="00CF6AAC" w:rsidRDefault="00CF6AAC" w:rsidP="006E75E6">
            <w:pPr>
              <w:pStyle w:val="ListParagraph"/>
              <w:numPr>
                <w:ilvl w:val="0"/>
                <w:numId w:val="3"/>
              </w:numPr>
              <w:tabs>
                <w:tab w:val="center" w:pos="2229"/>
              </w:tabs>
            </w:pPr>
            <w:r>
              <w:t xml:space="preserve">Induction supports extend to </w:t>
            </w:r>
            <w:r w:rsidR="00C25983">
              <w:t xml:space="preserve">all </w:t>
            </w:r>
            <w:r w:rsidR="006B5D13">
              <w:t>educators</w:t>
            </w:r>
            <w:r w:rsidR="00C25983">
              <w:t>, including paraprofessionals and educators</w:t>
            </w:r>
            <w:r w:rsidR="006B5D13">
              <w:t xml:space="preserve"> who are new to the LEA, but not to the profession.</w:t>
            </w:r>
          </w:p>
          <w:p w14:paraId="39FABAC9" w14:textId="4D5010C4" w:rsidR="00696FFA" w:rsidRDefault="00696FFA" w:rsidP="006E75E6">
            <w:pPr>
              <w:pStyle w:val="ListParagraph"/>
              <w:numPr>
                <w:ilvl w:val="0"/>
                <w:numId w:val="3"/>
              </w:numPr>
              <w:tabs>
                <w:tab w:val="center" w:pos="2229"/>
              </w:tabs>
            </w:pPr>
            <w:r>
              <w:t xml:space="preserve">The mentoring program is </w:t>
            </w:r>
            <w:r w:rsidR="00CD6B4A">
              <w:t>informed by</w:t>
            </w:r>
            <w:r>
              <w:t xml:space="preserve"> teaching standards, student outcomes, individual mentee needs, and </w:t>
            </w:r>
            <w:r w:rsidR="00703466">
              <w:t>the annual program evaluation.</w:t>
            </w:r>
          </w:p>
          <w:p w14:paraId="3F46AB4F" w14:textId="7C86BCD4" w:rsidR="00BC33EF" w:rsidRDefault="00B85D10" w:rsidP="00BC33EF">
            <w:pPr>
              <w:pStyle w:val="ListParagraph"/>
              <w:numPr>
                <w:ilvl w:val="0"/>
                <w:numId w:val="3"/>
              </w:numPr>
              <w:tabs>
                <w:tab w:val="center" w:pos="2229"/>
              </w:tabs>
            </w:pPr>
            <w:r>
              <w:t>The LEA assigns mentors before the beginning of the school year, and mentors share subject and/or grade level with their mentees when possible.</w:t>
            </w:r>
          </w:p>
          <w:p w14:paraId="12415C91" w14:textId="611533BB" w:rsidR="00B85D10" w:rsidRDefault="002068F8" w:rsidP="006E75E6">
            <w:pPr>
              <w:pStyle w:val="ListParagraph"/>
              <w:numPr>
                <w:ilvl w:val="0"/>
                <w:numId w:val="3"/>
              </w:numPr>
              <w:tabs>
                <w:tab w:val="center" w:pos="2229"/>
              </w:tabs>
            </w:pPr>
            <w:r>
              <w:t xml:space="preserve">Mentors receive ongoing training in relevant practices (e.g., providing feedback, </w:t>
            </w:r>
            <w:r w:rsidR="00EE16D6">
              <w:t xml:space="preserve">adult learning, </w:t>
            </w:r>
            <w:r>
              <w:t>having difficult conversations with mentees)</w:t>
            </w:r>
            <w:r w:rsidR="00367C83">
              <w:t>.</w:t>
            </w:r>
          </w:p>
          <w:p w14:paraId="20C7F321" w14:textId="2E3A3A4E" w:rsidR="00BC33EF" w:rsidRDefault="00BC33EF" w:rsidP="006E75E6">
            <w:pPr>
              <w:pStyle w:val="ListParagraph"/>
              <w:numPr>
                <w:ilvl w:val="0"/>
                <w:numId w:val="3"/>
              </w:numPr>
              <w:tabs>
                <w:tab w:val="center" w:pos="2229"/>
              </w:tabs>
            </w:pPr>
            <w:r>
              <w:t xml:space="preserve">Mentors and mentees </w:t>
            </w:r>
            <w:r w:rsidR="009B1114">
              <w:t xml:space="preserve">can </w:t>
            </w:r>
            <w:r>
              <w:t xml:space="preserve">observe one another </w:t>
            </w:r>
            <w:r w:rsidR="0074587A">
              <w:t>and meet at least one per month.</w:t>
            </w:r>
          </w:p>
          <w:p w14:paraId="15FF0261" w14:textId="62645991" w:rsidR="00367C83" w:rsidRDefault="00367C83" w:rsidP="006E75E6">
            <w:pPr>
              <w:pStyle w:val="ListParagraph"/>
              <w:numPr>
                <w:ilvl w:val="0"/>
                <w:numId w:val="3"/>
              </w:numPr>
              <w:tabs>
                <w:tab w:val="center" w:pos="2229"/>
              </w:tabs>
            </w:pPr>
            <w:r>
              <w:t>Mentors report satisfaction with the level of support from the LEA.</w:t>
            </w:r>
          </w:p>
          <w:p w14:paraId="33627C61" w14:textId="53AA53F7" w:rsidR="009A78BC" w:rsidRPr="00F643EF" w:rsidRDefault="00367C83" w:rsidP="009B1114">
            <w:pPr>
              <w:pStyle w:val="ListParagraph"/>
              <w:numPr>
                <w:ilvl w:val="0"/>
                <w:numId w:val="3"/>
              </w:numPr>
              <w:tabs>
                <w:tab w:val="center" w:pos="2229"/>
              </w:tabs>
            </w:pPr>
            <w:r>
              <w:t>Mentees report satisfaction with the induction program</w:t>
            </w:r>
            <w:r w:rsidR="009B1114">
              <w:t>.</w:t>
            </w:r>
          </w:p>
        </w:tc>
        <w:tc>
          <w:tcPr>
            <w:tcW w:w="5580" w:type="dxa"/>
          </w:tcPr>
          <w:p w14:paraId="644A7598" w14:textId="77777777" w:rsidR="009A78BC" w:rsidRDefault="009A78BC" w:rsidP="006E75E6">
            <w:r>
              <w:rPr>
                <w:b/>
              </w:rPr>
              <w:t>Look-</w:t>
            </w:r>
            <w:proofErr w:type="spellStart"/>
            <w:r>
              <w:rPr>
                <w:b/>
              </w:rPr>
              <w:t>fors</w:t>
            </w:r>
            <w:proofErr w:type="spellEnd"/>
            <w:r>
              <w:t>:</w:t>
            </w:r>
          </w:p>
          <w:p w14:paraId="178E38B0" w14:textId="3F38FF7C" w:rsidR="009A78BC" w:rsidRDefault="00017F8B" w:rsidP="006E75E6">
            <w:pPr>
              <w:pStyle w:val="ListParagraph"/>
              <w:numPr>
                <w:ilvl w:val="0"/>
                <w:numId w:val="3"/>
              </w:numPr>
            </w:pPr>
            <w:r>
              <w:t xml:space="preserve">After </w:t>
            </w:r>
            <w:r w:rsidR="006A7E79">
              <w:t xml:space="preserve">formal and informal </w:t>
            </w:r>
            <w:r>
              <w:t>observations, the observers provide feedback on practice within two school days</w:t>
            </w:r>
            <w:r w:rsidR="00223769">
              <w:t>—typically via a conversation with the observed educator.</w:t>
            </w:r>
          </w:p>
          <w:p w14:paraId="7E7D222C" w14:textId="20A5EDC2" w:rsidR="00223769" w:rsidRDefault="00873341" w:rsidP="006E75E6">
            <w:pPr>
              <w:pStyle w:val="ListParagraph"/>
              <w:numPr>
                <w:ilvl w:val="0"/>
                <w:numId w:val="3"/>
              </w:numPr>
            </w:pPr>
            <w:r>
              <w:t xml:space="preserve">Observers and other supervisors receive training in providing </w:t>
            </w:r>
            <w:r w:rsidR="004D7B6F">
              <w:t>actionable feedback.</w:t>
            </w:r>
          </w:p>
          <w:p w14:paraId="46218411" w14:textId="00DA58C4" w:rsidR="009A78BC" w:rsidRDefault="0019490D" w:rsidP="006E75E6">
            <w:pPr>
              <w:pStyle w:val="ListParagraph"/>
              <w:numPr>
                <w:ilvl w:val="0"/>
                <w:numId w:val="3"/>
              </w:numPr>
            </w:pPr>
            <w:r>
              <w:t>The LEA has processes for following up on educators’ implementation of feedback.</w:t>
            </w:r>
          </w:p>
          <w:p w14:paraId="4CA645DC" w14:textId="3779F8C1" w:rsidR="009A78BC" w:rsidRPr="00E87C25" w:rsidRDefault="00320509" w:rsidP="00C745F6">
            <w:pPr>
              <w:pStyle w:val="ListParagraph"/>
              <w:numPr>
                <w:ilvl w:val="0"/>
                <w:numId w:val="3"/>
              </w:numPr>
            </w:pPr>
            <w:r>
              <w:t>Across all subjects/roles (e.g., special education, ESL, electives), e</w:t>
            </w:r>
            <w:r w:rsidR="007E303E">
              <w:t>ducators report satisfaction with the usefulness of feedback</w:t>
            </w:r>
            <w:r>
              <w:t>.</w:t>
            </w:r>
          </w:p>
        </w:tc>
      </w:tr>
      <w:tr w:rsidR="009A78BC" w:rsidRPr="00917AC4" w14:paraId="5F221B49" w14:textId="77777777" w:rsidTr="2076CCA6">
        <w:tc>
          <w:tcPr>
            <w:tcW w:w="5485" w:type="dxa"/>
            <w:shd w:val="clear" w:color="auto" w:fill="B4C6E7" w:themeFill="accent1" w:themeFillTint="66"/>
          </w:tcPr>
          <w:p w14:paraId="3035BCD4" w14:textId="587A6B02" w:rsidR="009A78BC" w:rsidRPr="00917AC4" w:rsidRDefault="009A78BC" w:rsidP="006E75E6">
            <w:pPr>
              <w:rPr>
                <w:b/>
                <w:color w:val="2F5496" w:themeColor="accent1" w:themeShade="BF"/>
              </w:rPr>
            </w:pPr>
            <w:r w:rsidRPr="00917AC4">
              <w:rPr>
                <w:b/>
                <w:color w:val="2F5496" w:themeColor="accent1" w:themeShade="BF"/>
              </w:rPr>
              <w:t xml:space="preserve">Practice 3: </w:t>
            </w:r>
            <w:r w:rsidR="00294902" w:rsidRPr="00294902">
              <w:rPr>
                <w:rFonts w:asciiTheme="majorHAnsi" w:hAnsiTheme="majorHAnsi" w:cstheme="majorBidi"/>
                <w:bCs/>
                <w:color w:val="2F5496" w:themeColor="accent1" w:themeShade="BF"/>
              </w:rPr>
              <w:t>Professional development is linked to educator practice and student outcomes, and particularly aims to support new and/or less effective educators.</w:t>
            </w:r>
          </w:p>
        </w:tc>
        <w:tc>
          <w:tcPr>
            <w:tcW w:w="5580" w:type="dxa"/>
            <w:shd w:val="clear" w:color="auto" w:fill="B4C6E7" w:themeFill="accent1" w:themeFillTint="66"/>
          </w:tcPr>
          <w:p w14:paraId="1899CB8A" w14:textId="53999FEF" w:rsidR="009A78BC" w:rsidRPr="00917AC4" w:rsidRDefault="009A78BC" w:rsidP="006E75E6">
            <w:pPr>
              <w:rPr>
                <w:b/>
                <w:color w:val="2F5496" w:themeColor="accent1" w:themeShade="BF"/>
              </w:rPr>
            </w:pPr>
            <w:r w:rsidRPr="00917AC4">
              <w:rPr>
                <w:b/>
                <w:color w:val="2F5496" w:themeColor="accent1" w:themeShade="BF"/>
              </w:rPr>
              <w:t xml:space="preserve">Practice 4: </w:t>
            </w:r>
            <w:r w:rsidR="006D25C9">
              <w:rPr>
                <w:color w:val="2F5496" w:themeColor="accent1" w:themeShade="BF"/>
              </w:rPr>
              <w:t>The LEA tracks the impact of professional development on educator practice and on student outcomes.</w:t>
            </w:r>
          </w:p>
        </w:tc>
      </w:tr>
      <w:tr w:rsidR="009A78BC" w:rsidRPr="00A44451" w14:paraId="20FA3584" w14:textId="77777777" w:rsidTr="2076CCA6">
        <w:tc>
          <w:tcPr>
            <w:tcW w:w="5485" w:type="dxa"/>
          </w:tcPr>
          <w:p w14:paraId="3A7DBB87" w14:textId="77777777" w:rsidR="009A78BC" w:rsidRDefault="009A78BC" w:rsidP="006E75E6">
            <w:pPr>
              <w:rPr>
                <w:b/>
              </w:rPr>
            </w:pPr>
            <w:r>
              <w:rPr>
                <w:b/>
              </w:rPr>
              <w:t>Look-</w:t>
            </w:r>
            <w:proofErr w:type="spellStart"/>
            <w:r>
              <w:rPr>
                <w:b/>
              </w:rPr>
              <w:t>fors</w:t>
            </w:r>
            <w:proofErr w:type="spellEnd"/>
            <w:r>
              <w:rPr>
                <w:b/>
              </w:rPr>
              <w:t>:</w:t>
            </w:r>
          </w:p>
          <w:p w14:paraId="296A48D8" w14:textId="3CE287FE" w:rsidR="009A78BC" w:rsidRDefault="004E54D8" w:rsidP="006E75E6">
            <w:pPr>
              <w:pStyle w:val="ListParagraph"/>
              <w:numPr>
                <w:ilvl w:val="0"/>
                <w:numId w:val="3"/>
              </w:numPr>
            </w:pPr>
            <w:r>
              <w:t xml:space="preserve">Educators participate in professional development </w:t>
            </w:r>
            <w:r w:rsidR="00FA3A7D">
              <w:t>that meets their specific needs, as demonstrated by ratings, observation</w:t>
            </w:r>
            <w:r w:rsidR="00FF14E3">
              <w:t>s, student outcomes,</w:t>
            </w:r>
            <w:r w:rsidR="001553C2">
              <w:t xml:space="preserve"> staff requests,</w:t>
            </w:r>
            <w:r w:rsidR="00FF14E3">
              <w:t xml:space="preserve"> etc.</w:t>
            </w:r>
          </w:p>
          <w:p w14:paraId="2D88AD48" w14:textId="1A282D7B" w:rsidR="00FD383C" w:rsidRDefault="00FD383C" w:rsidP="006E75E6">
            <w:pPr>
              <w:pStyle w:val="ListParagraph"/>
              <w:numPr>
                <w:ilvl w:val="0"/>
                <w:numId w:val="3"/>
              </w:numPr>
            </w:pPr>
            <w:r>
              <w:t>All professional development has specific objectives that align with priority educator and student outcome goals.</w:t>
            </w:r>
          </w:p>
          <w:p w14:paraId="4EF1AC83" w14:textId="4031B0C8" w:rsidR="00FF14E3" w:rsidRPr="00FF098E" w:rsidRDefault="008F6A5A" w:rsidP="006E75E6">
            <w:pPr>
              <w:pStyle w:val="ListParagraph"/>
              <w:numPr>
                <w:ilvl w:val="0"/>
                <w:numId w:val="3"/>
              </w:numPr>
            </w:pPr>
            <w:r>
              <w:t xml:space="preserve">The LEA selects/designs professional development opportunities that are embedded in educator practice (e.g., </w:t>
            </w:r>
            <w:r w:rsidR="00740485">
              <w:t xml:space="preserve">coaching, professional learning communities, </w:t>
            </w:r>
            <w:r w:rsidR="009C6DFB">
              <w:t>collaborative planning).</w:t>
            </w:r>
          </w:p>
        </w:tc>
        <w:tc>
          <w:tcPr>
            <w:tcW w:w="5580" w:type="dxa"/>
          </w:tcPr>
          <w:p w14:paraId="287408AA" w14:textId="77777777" w:rsidR="009A78BC" w:rsidRDefault="009A78BC" w:rsidP="006E75E6">
            <w:pPr>
              <w:rPr>
                <w:b/>
              </w:rPr>
            </w:pPr>
            <w:r>
              <w:rPr>
                <w:b/>
              </w:rPr>
              <w:t>Look-</w:t>
            </w:r>
            <w:proofErr w:type="spellStart"/>
            <w:r>
              <w:rPr>
                <w:b/>
              </w:rPr>
              <w:t>fors</w:t>
            </w:r>
            <w:proofErr w:type="spellEnd"/>
            <w:r>
              <w:rPr>
                <w:b/>
              </w:rPr>
              <w:t>:</w:t>
            </w:r>
          </w:p>
          <w:p w14:paraId="4EB90340" w14:textId="1E615284" w:rsidR="009A78BC" w:rsidRDefault="00D02625" w:rsidP="006E75E6">
            <w:pPr>
              <w:pStyle w:val="ListParagraph"/>
              <w:numPr>
                <w:ilvl w:val="0"/>
                <w:numId w:val="3"/>
              </w:numPr>
            </w:pPr>
            <w:r>
              <w:t xml:space="preserve">When selecting/designing professional development, the LEA </w:t>
            </w:r>
            <w:r w:rsidR="00291DE6">
              <w:t>plans how to measure impact on educator</w:t>
            </w:r>
            <w:r w:rsidR="00635A5A">
              <w:t>s</w:t>
            </w:r>
            <w:r w:rsidR="00B25AFE">
              <w:t>’ practice</w:t>
            </w:r>
            <w:r w:rsidR="00635A5A">
              <w:t xml:space="preserve"> and students.</w:t>
            </w:r>
          </w:p>
          <w:p w14:paraId="2110EA53" w14:textId="1BF148BC" w:rsidR="004F6736" w:rsidRPr="00A44451" w:rsidRDefault="00B75043" w:rsidP="002854A8">
            <w:pPr>
              <w:pStyle w:val="ListParagraph"/>
              <w:numPr>
                <w:ilvl w:val="0"/>
                <w:numId w:val="3"/>
              </w:numPr>
            </w:pPr>
            <w:r>
              <w:t xml:space="preserve">Professional development activities include a demonstration of </w:t>
            </w:r>
            <w:r w:rsidR="00073017">
              <w:t xml:space="preserve">gains in educator skills/knowledge (e.g., submission of a sample lesson plan, </w:t>
            </w:r>
            <w:r w:rsidR="002854A8">
              <w:t>observation of practice, collaborative project).</w:t>
            </w:r>
          </w:p>
        </w:tc>
      </w:tr>
    </w:tbl>
    <w:p w14:paraId="1CFA5DC7" w14:textId="0F7B8190" w:rsidR="009A78BC" w:rsidRDefault="009A78BC"/>
    <w:p w14:paraId="10263846" w14:textId="2549896F" w:rsidR="00DB6E87" w:rsidRDefault="00DB6E87"/>
    <w:p w14:paraId="112A1D0D" w14:textId="17A93844" w:rsidR="00DB6E87" w:rsidRDefault="00DB6E87"/>
    <w:p w14:paraId="51E0598D" w14:textId="26D84FB0" w:rsidR="00DB6E87" w:rsidRDefault="00DB6E87"/>
    <w:p w14:paraId="5375E821" w14:textId="77777777" w:rsidR="00DB6E87" w:rsidRDefault="00DB6E87"/>
    <w:tbl>
      <w:tblPr>
        <w:tblStyle w:val="TableGrid"/>
        <w:tblW w:w="11065" w:type="dxa"/>
        <w:tblLook w:val="04A0" w:firstRow="1" w:lastRow="0" w:firstColumn="1" w:lastColumn="0" w:noHBand="0" w:noVBand="1"/>
      </w:tblPr>
      <w:tblGrid>
        <w:gridCol w:w="5485"/>
        <w:gridCol w:w="5580"/>
      </w:tblGrid>
      <w:tr w:rsidR="00665A3E" w14:paraId="754966D3" w14:textId="77777777" w:rsidTr="006E75E6">
        <w:tc>
          <w:tcPr>
            <w:tcW w:w="11065" w:type="dxa"/>
            <w:gridSpan w:val="2"/>
            <w:shd w:val="clear" w:color="auto" w:fill="B4C6E7" w:themeFill="accent1" w:themeFillTint="66"/>
          </w:tcPr>
          <w:p w14:paraId="03913921" w14:textId="5DBF7F30" w:rsidR="00665A3E" w:rsidRDefault="007C29E8" w:rsidP="006E75E6">
            <w:pPr>
              <w:jc w:val="center"/>
            </w:pPr>
            <w:r>
              <w:rPr>
                <w:rFonts w:asciiTheme="majorHAnsi" w:hAnsiTheme="majorHAnsi" w:cstheme="majorHAnsi"/>
                <w:b/>
                <w:color w:val="2F5496" w:themeColor="accent1" w:themeShade="BF"/>
                <w:sz w:val="30"/>
                <w:szCs w:val="30"/>
              </w:rPr>
              <w:t xml:space="preserve">IV. </w:t>
            </w:r>
            <w:r w:rsidR="00665A3E">
              <w:rPr>
                <w:rFonts w:asciiTheme="majorHAnsi" w:hAnsiTheme="majorHAnsi" w:cstheme="majorHAnsi"/>
                <w:b/>
                <w:color w:val="2F5496" w:themeColor="accent1" w:themeShade="BF"/>
                <w:sz w:val="30"/>
                <w:szCs w:val="30"/>
              </w:rPr>
              <w:t>CAREER LADDER</w:t>
            </w:r>
          </w:p>
        </w:tc>
      </w:tr>
      <w:tr w:rsidR="00665A3E" w:rsidRPr="00917AC4" w14:paraId="33908941" w14:textId="77777777" w:rsidTr="006E75E6">
        <w:tc>
          <w:tcPr>
            <w:tcW w:w="5485" w:type="dxa"/>
            <w:shd w:val="clear" w:color="auto" w:fill="B4C6E7" w:themeFill="accent1" w:themeFillTint="66"/>
          </w:tcPr>
          <w:p w14:paraId="1BFAA391" w14:textId="44DBC901" w:rsidR="00665A3E" w:rsidRPr="00917AC4" w:rsidRDefault="00665A3E" w:rsidP="006E75E6">
            <w:pPr>
              <w:rPr>
                <w:b/>
                <w:color w:val="2F5496" w:themeColor="accent1" w:themeShade="BF"/>
              </w:rPr>
            </w:pPr>
            <w:r w:rsidRPr="00917AC4">
              <w:rPr>
                <w:rFonts w:asciiTheme="majorHAnsi" w:hAnsiTheme="majorHAnsi" w:cstheme="majorHAnsi"/>
                <w:b/>
                <w:color w:val="2F5496" w:themeColor="accent1" w:themeShade="BF"/>
              </w:rPr>
              <w:t xml:space="preserve">Practice 1: </w:t>
            </w:r>
            <w:r>
              <w:rPr>
                <w:rFonts w:asciiTheme="majorHAnsi" w:hAnsiTheme="majorHAnsi" w:cstheme="majorHAnsi"/>
                <w:color w:val="2F5496" w:themeColor="accent1" w:themeShade="BF"/>
              </w:rPr>
              <w:t xml:space="preserve">The LEA </w:t>
            </w:r>
            <w:r w:rsidR="00A36753">
              <w:rPr>
                <w:rFonts w:asciiTheme="majorHAnsi" w:hAnsiTheme="majorHAnsi" w:cstheme="majorHAnsi"/>
                <w:color w:val="2F5496" w:themeColor="accent1" w:themeShade="BF"/>
              </w:rPr>
              <w:t xml:space="preserve">provides a range of leadership roles/responsibilities for </w:t>
            </w:r>
            <w:r w:rsidR="008D5B19">
              <w:rPr>
                <w:rFonts w:asciiTheme="majorHAnsi" w:hAnsiTheme="majorHAnsi" w:cstheme="majorHAnsi"/>
                <w:color w:val="2F5496" w:themeColor="accent1" w:themeShade="BF"/>
              </w:rPr>
              <w:t>highly effective</w:t>
            </w:r>
            <w:r w:rsidR="00A36753">
              <w:rPr>
                <w:rFonts w:asciiTheme="majorHAnsi" w:hAnsiTheme="majorHAnsi" w:cstheme="majorHAnsi"/>
                <w:color w:val="2F5496" w:themeColor="accent1" w:themeShade="BF"/>
              </w:rPr>
              <w:t xml:space="preserve"> educators.</w:t>
            </w:r>
          </w:p>
        </w:tc>
        <w:tc>
          <w:tcPr>
            <w:tcW w:w="5580" w:type="dxa"/>
            <w:shd w:val="clear" w:color="auto" w:fill="B4C6E7" w:themeFill="accent1" w:themeFillTint="66"/>
          </w:tcPr>
          <w:p w14:paraId="7961AF57" w14:textId="37123118" w:rsidR="00665A3E" w:rsidRPr="00917AC4" w:rsidRDefault="00665A3E" w:rsidP="006E75E6">
            <w:pPr>
              <w:rPr>
                <w:color w:val="2F5496" w:themeColor="accent1" w:themeShade="BF"/>
              </w:rPr>
            </w:pPr>
            <w:r w:rsidRPr="00917AC4">
              <w:rPr>
                <w:b/>
                <w:color w:val="2F5496" w:themeColor="accent1" w:themeShade="BF"/>
              </w:rPr>
              <w:t xml:space="preserve">Practice 2: </w:t>
            </w:r>
            <w:r w:rsidR="00DB6E87" w:rsidRPr="00DB6E87">
              <w:rPr>
                <w:rFonts w:asciiTheme="majorHAnsi" w:hAnsiTheme="majorHAnsi" w:cstheme="majorHAnsi"/>
                <w:color w:val="2F5496" w:themeColor="accent1" w:themeShade="BF"/>
              </w:rPr>
              <w:t>The LEA leverages career advancement opportunities to attract highly effective educators to, or retain them in, the highest need schools.</w:t>
            </w:r>
          </w:p>
        </w:tc>
      </w:tr>
      <w:tr w:rsidR="00665A3E" w:rsidRPr="00E87C25" w14:paraId="096FB885" w14:textId="77777777" w:rsidTr="006E75E6">
        <w:tc>
          <w:tcPr>
            <w:tcW w:w="5485" w:type="dxa"/>
          </w:tcPr>
          <w:p w14:paraId="4AEE44C6" w14:textId="77777777" w:rsidR="00665A3E" w:rsidRPr="00A14710" w:rsidRDefault="00665A3E" w:rsidP="006E75E6">
            <w:pPr>
              <w:tabs>
                <w:tab w:val="center" w:pos="2229"/>
              </w:tabs>
            </w:pPr>
            <w:r>
              <w:rPr>
                <w:b/>
              </w:rPr>
              <w:t>Look-</w:t>
            </w:r>
            <w:proofErr w:type="spellStart"/>
            <w:r>
              <w:rPr>
                <w:b/>
              </w:rPr>
              <w:t>fors</w:t>
            </w:r>
            <w:proofErr w:type="spellEnd"/>
            <w:r>
              <w:rPr>
                <w:b/>
              </w:rPr>
              <w:t>:</w:t>
            </w:r>
            <w:r w:rsidRPr="00A14710">
              <w:tab/>
            </w:r>
          </w:p>
          <w:p w14:paraId="24305B69" w14:textId="49D8F916" w:rsidR="00665A3E" w:rsidRDefault="008C760C" w:rsidP="006E75E6">
            <w:pPr>
              <w:pStyle w:val="ListParagraph"/>
              <w:numPr>
                <w:ilvl w:val="0"/>
                <w:numId w:val="3"/>
              </w:numPr>
              <w:tabs>
                <w:tab w:val="center" w:pos="2229"/>
              </w:tabs>
            </w:pPr>
            <w:r>
              <w:t>High</w:t>
            </w:r>
            <w:r w:rsidR="008D5B19">
              <w:t xml:space="preserve">ly effective educators </w:t>
            </w:r>
            <w:r w:rsidR="00A704EA">
              <w:t xml:space="preserve">can apply for diverse roles that help meet LEA </w:t>
            </w:r>
            <w:r w:rsidR="00EA472A">
              <w:t>goals</w:t>
            </w:r>
            <w:r w:rsidR="00623837">
              <w:t>.</w:t>
            </w:r>
          </w:p>
          <w:p w14:paraId="47E90BB8" w14:textId="56457A33" w:rsidR="00EA472A" w:rsidRDefault="00EA472A" w:rsidP="006E75E6">
            <w:pPr>
              <w:pStyle w:val="ListParagraph"/>
              <w:numPr>
                <w:ilvl w:val="0"/>
                <w:numId w:val="3"/>
              </w:numPr>
              <w:tabs>
                <w:tab w:val="center" w:pos="2229"/>
              </w:tabs>
            </w:pPr>
            <w:r>
              <w:t xml:space="preserve">The LEA has consistent </w:t>
            </w:r>
            <w:r w:rsidR="00B86235">
              <w:t xml:space="preserve">strategies </w:t>
            </w:r>
            <w:r>
              <w:t>to selecting educators for leadership roles</w:t>
            </w:r>
            <w:r w:rsidR="00623837">
              <w:t>.</w:t>
            </w:r>
          </w:p>
          <w:p w14:paraId="08B457D7" w14:textId="6DA20400" w:rsidR="00623837" w:rsidRDefault="00623837" w:rsidP="006E75E6">
            <w:pPr>
              <w:pStyle w:val="ListParagraph"/>
              <w:numPr>
                <w:ilvl w:val="0"/>
                <w:numId w:val="3"/>
              </w:numPr>
              <w:tabs>
                <w:tab w:val="center" w:pos="2229"/>
              </w:tabs>
            </w:pPr>
            <w:r>
              <w:t>The LEA ensures that all educators are aware of the career advancement opportunities available to high performing educators.</w:t>
            </w:r>
          </w:p>
          <w:p w14:paraId="34AC1B39" w14:textId="1F00F747" w:rsidR="00F368C2" w:rsidRPr="00F643EF" w:rsidRDefault="00F368C2" w:rsidP="00E210F3">
            <w:pPr>
              <w:pStyle w:val="ListParagraph"/>
              <w:numPr>
                <w:ilvl w:val="0"/>
                <w:numId w:val="3"/>
              </w:numPr>
              <w:tabs>
                <w:tab w:val="center" w:pos="2229"/>
              </w:tabs>
            </w:pPr>
            <w:r>
              <w:t>High</w:t>
            </w:r>
            <w:r w:rsidR="008D5B19">
              <w:t xml:space="preserve">ly effective educators </w:t>
            </w:r>
            <w:r>
              <w:t>report satisfaction with available opportunities for caree</w:t>
            </w:r>
            <w:r w:rsidR="00E210F3">
              <w:t>r advancement and recognition</w:t>
            </w:r>
            <w:r w:rsidR="00623837">
              <w:t>.</w:t>
            </w:r>
          </w:p>
        </w:tc>
        <w:tc>
          <w:tcPr>
            <w:tcW w:w="5580" w:type="dxa"/>
          </w:tcPr>
          <w:p w14:paraId="499D2143" w14:textId="77777777" w:rsidR="00665A3E" w:rsidRDefault="00665A3E" w:rsidP="006E75E6">
            <w:r>
              <w:rPr>
                <w:b/>
              </w:rPr>
              <w:t>Look-</w:t>
            </w:r>
            <w:proofErr w:type="spellStart"/>
            <w:r>
              <w:rPr>
                <w:b/>
              </w:rPr>
              <w:t>fors</w:t>
            </w:r>
            <w:proofErr w:type="spellEnd"/>
            <w:r>
              <w:t>:</w:t>
            </w:r>
          </w:p>
          <w:p w14:paraId="2EB79151" w14:textId="77777777" w:rsidR="00665A3E" w:rsidRDefault="009F371C" w:rsidP="006E75E6">
            <w:pPr>
              <w:pStyle w:val="ListParagraph"/>
              <w:numPr>
                <w:ilvl w:val="0"/>
                <w:numId w:val="3"/>
              </w:numPr>
            </w:pPr>
            <w:r>
              <w:t>The LEA prioritizes offering leadership roles to educators at the highest need schools.</w:t>
            </w:r>
          </w:p>
          <w:p w14:paraId="7F9B71F5" w14:textId="0B18C9BA" w:rsidR="009F371C" w:rsidRPr="00E87C25" w:rsidRDefault="009F371C" w:rsidP="006E75E6">
            <w:pPr>
              <w:pStyle w:val="ListParagraph"/>
              <w:numPr>
                <w:ilvl w:val="0"/>
                <w:numId w:val="3"/>
              </w:numPr>
            </w:pPr>
            <w:r>
              <w:t xml:space="preserve">The LEA regularly checks in with </w:t>
            </w:r>
            <w:r w:rsidR="005E2B3B">
              <w:t>highly effective educators</w:t>
            </w:r>
            <w:r>
              <w:t xml:space="preserve"> at the highest need schools </w:t>
            </w:r>
            <w:r w:rsidR="000F2E60">
              <w:t xml:space="preserve">to learn about their satisfaction with opportunities for career advancement and </w:t>
            </w:r>
            <w:proofErr w:type="gramStart"/>
            <w:r w:rsidR="000F2E60">
              <w:t>recognition</w:t>
            </w:r>
            <w:r w:rsidR="00466DB4">
              <w:t>, and</w:t>
            </w:r>
            <w:proofErr w:type="gramEnd"/>
            <w:r w:rsidR="00466DB4">
              <w:t xml:space="preserve"> provides support in response.</w:t>
            </w:r>
          </w:p>
        </w:tc>
      </w:tr>
    </w:tbl>
    <w:p w14:paraId="59FE15A5" w14:textId="66BE3530" w:rsidR="00665A3E" w:rsidRDefault="00665A3E"/>
    <w:tbl>
      <w:tblPr>
        <w:tblStyle w:val="TableGrid"/>
        <w:tblW w:w="11065" w:type="dxa"/>
        <w:tblLook w:val="04A0" w:firstRow="1" w:lastRow="0" w:firstColumn="1" w:lastColumn="0" w:noHBand="0" w:noVBand="1"/>
      </w:tblPr>
      <w:tblGrid>
        <w:gridCol w:w="5485"/>
        <w:gridCol w:w="5580"/>
      </w:tblGrid>
      <w:tr w:rsidR="009448AA" w14:paraId="272AB534" w14:textId="77777777" w:rsidTr="0021578A">
        <w:tc>
          <w:tcPr>
            <w:tcW w:w="11065" w:type="dxa"/>
            <w:gridSpan w:val="2"/>
            <w:shd w:val="clear" w:color="auto" w:fill="B4C6E7" w:themeFill="accent1" w:themeFillTint="66"/>
          </w:tcPr>
          <w:p w14:paraId="0F576783" w14:textId="44D464DF" w:rsidR="009448AA" w:rsidRPr="0021578A" w:rsidRDefault="007C29E8">
            <w:pPr>
              <w:jc w:val="center"/>
              <w:rPr>
                <w:rFonts w:asciiTheme="majorHAnsi" w:hAnsiTheme="majorHAnsi" w:cstheme="majorBidi"/>
                <w:b/>
                <w:bCs/>
                <w:color w:val="2F5496" w:themeColor="accent1" w:themeShade="BF"/>
                <w:sz w:val="30"/>
                <w:szCs w:val="30"/>
              </w:rPr>
            </w:pPr>
            <w:r>
              <w:rPr>
                <w:rFonts w:asciiTheme="majorHAnsi" w:hAnsiTheme="majorHAnsi" w:cstheme="majorBidi"/>
                <w:b/>
                <w:bCs/>
                <w:color w:val="2F5496" w:themeColor="accent1" w:themeShade="BF"/>
                <w:sz w:val="30"/>
                <w:szCs w:val="30"/>
              </w:rPr>
              <w:t xml:space="preserve">V. </w:t>
            </w:r>
            <w:r w:rsidR="009448AA" w:rsidRPr="0030244C">
              <w:rPr>
                <w:rFonts w:asciiTheme="majorHAnsi" w:hAnsiTheme="majorHAnsi" w:cstheme="majorBidi"/>
                <w:b/>
                <w:bCs/>
                <w:color w:val="2F5496" w:themeColor="accent1" w:themeShade="BF"/>
                <w:sz w:val="30"/>
                <w:szCs w:val="30"/>
              </w:rPr>
              <w:t>RETENTION</w:t>
            </w:r>
          </w:p>
        </w:tc>
      </w:tr>
      <w:tr w:rsidR="009448AA" w:rsidRPr="00917AC4" w14:paraId="3BD9D688" w14:textId="77777777" w:rsidTr="05290994">
        <w:tc>
          <w:tcPr>
            <w:tcW w:w="5485" w:type="dxa"/>
            <w:shd w:val="clear" w:color="auto" w:fill="B4C6E7" w:themeFill="accent1" w:themeFillTint="66"/>
          </w:tcPr>
          <w:p w14:paraId="2C76509A" w14:textId="72849242" w:rsidR="009448AA" w:rsidRPr="00917AC4" w:rsidRDefault="009448AA" w:rsidP="006E75E6">
            <w:pPr>
              <w:rPr>
                <w:b/>
                <w:color w:val="2F5496" w:themeColor="accent1" w:themeShade="BF"/>
              </w:rPr>
            </w:pPr>
            <w:r w:rsidRPr="00917AC4">
              <w:rPr>
                <w:rFonts w:asciiTheme="majorHAnsi" w:hAnsiTheme="majorHAnsi" w:cstheme="majorHAnsi"/>
                <w:b/>
                <w:color w:val="2F5496" w:themeColor="accent1" w:themeShade="BF"/>
              </w:rPr>
              <w:t xml:space="preserve">Practice 1: </w:t>
            </w:r>
            <w:r>
              <w:rPr>
                <w:rFonts w:asciiTheme="majorHAnsi" w:hAnsiTheme="majorHAnsi" w:cstheme="majorHAnsi"/>
                <w:color w:val="2F5496" w:themeColor="accent1" w:themeShade="BF"/>
              </w:rPr>
              <w:t xml:space="preserve">The LEA </w:t>
            </w:r>
            <w:r w:rsidR="00E0112B">
              <w:rPr>
                <w:rFonts w:asciiTheme="majorHAnsi" w:hAnsiTheme="majorHAnsi" w:cstheme="majorHAnsi"/>
                <w:color w:val="2F5496" w:themeColor="accent1" w:themeShade="BF"/>
              </w:rPr>
              <w:t xml:space="preserve">uses multiple </w:t>
            </w:r>
            <w:r w:rsidR="00B86235">
              <w:rPr>
                <w:rFonts w:asciiTheme="majorHAnsi" w:hAnsiTheme="majorHAnsi" w:cstheme="majorHAnsi"/>
                <w:color w:val="2F5496" w:themeColor="accent1" w:themeShade="BF"/>
              </w:rPr>
              <w:t xml:space="preserve">strategies </w:t>
            </w:r>
            <w:r w:rsidR="00E0112B">
              <w:rPr>
                <w:rFonts w:asciiTheme="majorHAnsi" w:hAnsiTheme="majorHAnsi" w:cstheme="majorHAnsi"/>
                <w:color w:val="2F5496" w:themeColor="accent1" w:themeShade="BF"/>
              </w:rPr>
              <w:t>to retain effective educators.</w:t>
            </w:r>
          </w:p>
        </w:tc>
        <w:tc>
          <w:tcPr>
            <w:tcW w:w="5580" w:type="dxa"/>
            <w:shd w:val="clear" w:color="auto" w:fill="B4C6E7" w:themeFill="accent1" w:themeFillTint="66"/>
          </w:tcPr>
          <w:p w14:paraId="51FEED13" w14:textId="62EBE7BC" w:rsidR="009448AA" w:rsidRPr="00917AC4" w:rsidRDefault="009448AA" w:rsidP="006E75E6">
            <w:pPr>
              <w:rPr>
                <w:color w:val="2F5496" w:themeColor="accent1" w:themeShade="BF"/>
              </w:rPr>
            </w:pPr>
            <w:r w:rsidRPr="00917AC4">
              <w:rPr>
                <w:b/>
                <w:color w:val="2F5496" w:themeColor="accent1" w:themeShade="BF"/>
              </w:rPr>
              <w:t xml:space="preserve">Practice 2: </w:t>
            </w:r>
            <w:r w:rsidR="00F84E21">
              <w:rPr>
                <w:rFonts w:asciiTheme="majorHAnsi" w:hAnsiTheme="majorHAnsi" w:cstheme="majorHAnsi"/>
                <w:color w:val="2F5496" w:themeColor="accent1" w:themeShade="BF"/>
              </w:rPr>
              <w:t>The LEA prioritizes retaining effective educators in the highest need schools</w:t>
            </w:r>
            <w:r w:rsidR="004B394F">
              <w:rPr>
                <w:rFonts w:asciiTheme="majorHAnsi" w:hAnsiTheme="majorHAnsi" w:cstheme="majorHAnsi"/>
                <w:color w:val="2F5496" w:themeColor="accent1" w:themeShade="BF"/>
              </w:rPr>
              <w:t xml:space="preserve"> and</w:t>
            </w:r>
            <w:r w:rsidR="00C74DE1">
              <w:rPr>
                <w:rFonts w:asciiTheme="majorHAnsi" w:hAnsiTheme="majorHAnsi" w:cstheme="majorHAnsi"/>
                <w:color w:val="2F5496" w:themeColor="accent1" w:themeShade="BF"/>
              </w:rPr>
              <w:t xml:space="preserve"> subjects</w:t>
            </w:r>
            <w:r w:rsidR="00F84E21">
              <w:rPr>
                <w:rFonts w:asciiTheme="majorHAnsi" w:hAnsiTheme="majorHAnsi" w:cstheme="majorHAnsi"/>
                <w:color w:val="2F5496" w:themeColor="accent1" w:themeShade="BF"/>
              </w:rPr>
              <w:t>.</w:t>
            </w:r>
          </w:p>
        </w:tc>
      </w:tr>
      <w:tr w:rsidR="009448AA" w:rsidRPr="00E87C25" w14:paraId="19B6C4ED" w14:textId="77777777" w:rsidTr="05290994">
        <w:tc>
          <w:tcPr>
            <w:tcW w:w="5485" w:type="dxa"/>
          </w:tcPr>
          <w:p w14:paraId="2F07F713" w14:textId="77777777" w:rsidR="009448AA" w:rsidRPr="00A14710" w:rsidRDefault="009448AA" w:rsidP="006E75E6">
            <w:pPr>
              <w:tabs>
                <w:tab w:val="center" w:pos="2229"/>
              </w:tabs>
            </w:pPr>
            <w:r>
              <w:rPr>
                <w:b/>
              </w:rPr>
              <w:t>Look-</w:t>
            </w:r>
            <w:proofErr w:type="spellStart"/>
            <w:r>
              <w:rPr>
                <w:b/>
              </w:rPr>
              <w:t>fors</w:t>
            </w:r>
            <w:proofErr w:type="spellEnd"/>
            <w:r>
              <w:rPr>
                <w:b/>
              </w:rPr>
              <w:t>:</w:t>
            </w:r>
            <w:r w:rsidRPr="00A14710">
              <w:tab/>
            </w:r>
          </w:p>
          <w:p w14:paraId="423E0590" w14:textId="0F25F795" w:rsidR="009448AA" w:rsidRDefault="00E0112B" w:rsidP="006E75E6">
            <w:pPr>
              <w:pStyle w:val="ListParagraph"/>
              <w:numPr>
                <w:ilvl w:val="0"/>
                <w:numId w:val="3"/>
              </w:numPr>
              <w:tabs>
                <w:tab w:val="center" w:pos="2229"/>
              </w:tabs>
            </w:pPr>
            <w:r>
              <w:t xml:space="preserve">The LEA tracks the retention rates of educators overall; </w:t>
            </w:r>
            <w:r w:rsidR="009E4653">
              <w:t>by effectiveness measures</w:t>
            </w:r>
            <w:r w:rsidR="00850FC3">
              <w:t>; by race/ethnicity;</w:t>
            </w:r>
            <w:r w:rsidR="009E4653">
              <w:t xml:space="preserve"> </w:t>
            </w:r>
            <w:r w:rsidR="00FB43F6">
              <w:t xml:space="preserve">and </w:t>
            </w:r>
            <w:r w:rsidR="00EA79B7">
              <w:t>by experience level</w:t>
            </w:r>
            <w:r w:rsidR="00FB43F6">
              <w:t>.</w:t>
            </w:r>
          </w:p>
          <w:p w14:paraId="7CEAA7EE" w14:textId="51339E4D" w:rsidR="004F6792" w:rsidRDefault="004F6792" w:rsidP="006E75E6">
            <w:pPr>
              <w:pStyle w:val="ListParagraph"/>
              <w:numPr>
                <w:ilvl w:val="0"/>
                <w:numId w:val="3"/>
              </w:numPr>
              <w:tabs>
                <w:tab w:val="center" w:pos="2229"/>
              </w:tabs>
            </w:pPr>
            <w:r>
              <w:t xml:space="preserve">The LEA formally and/or informally collects information about all educators’ satisfaction with working conditions, with </w:t>
            </w:r>
            <w:proofErr w:type="gramStart"/>
            <w:r>
              <w:t>particular focus</w:t>
            </w:r>
            <w:proofErr w:type="gramEnd"/>
            <w:r>
              <w:t xml:space="preserve"> on effective educators</w:t>
            </w:r>
            <w:r w:rsidR="001A0F2E">
              <w:t xml:space="preserve"> and those in shortage subjects.</w:t>
            </w:r>
          </w:p>
          <w:p w14:paraId="3E33BAF8" w14:textId="2B5C9384" w:rsidR="00EA79B7" w:rsidRDefault="009F06BB" w:rsidP="006E75E6">
            <w:pPr>
              <w:pStyle w:val="ListParagraph"/>
              <w:numPr>
                <w:ilvl w:val="0"/>
                <w:numId w:val="3"/>
              </w:numPr>
              <w:tabs>
                <w:tab w:val="center" w:pos="2229"/>
              </w:tabs>
            </w:pPr>
            <w:r>
              <w:t xml:space="preserve">By midyear, </w:t>
            </w:r>
            <w:r w:rsidR="00CF4846">
              <w:t xml:space="preserve">LEA/school </w:t>
            </w:r>
            <w:r w:rsidR="00BB6C93">
              <w:t>leaders check in with highly effective educators</w:t>
            </w:r>
            <w:r w:rsidR="00AF3048">
              <w:t xml:space="preserve"> about their intent to stay or leave, and to learn about their satisfaction with working conditions</w:t>
            </w:r>
            <w:r w:rsidR="004F6792">
              <w:t>.</w:t>
            </w:r>
            <w:r w:rsidR="00725914">
              <w:t xml:space="preserve"> Leaders tailor retention strategies to the needs of </w:t>
            </w:r>
            <w:r w:rsidR="00BB6C93">
              <w:t>highly effective educators</w:t>
            </w:r>
            <w:r w:rsidR="00725914">
              <w:t>.</w:t>
            </w:r>
          </w:p>
          <w:p w14:paraId="58C7A993" w14:textId="1993EE9B" w:rsidR="00534B0A" w:rsidRDefault="00466DB4" w:rsidP="006E75E6">
            <w:pPr>
              <w:pStyle w:val="ListParagraph"/>
              <w:numPr>
                <w:ilvl w:val="0"/>
                <w:numId w:val="3"/>
              </w:numPr>
              <w:tabs>
                <w:tab w:val="center" w:pos="2229"/>
              </w:tabs>
            </w:pPr>
            <w:r>
              <w:t>Interviews/surveys</w:t>
            </w:r>
            <w:r w:rsidR="00534B0A">
              <w:t xml:space="preserve"> gather information about educators’ reasons for </w:t>
            </w:r>
            <w:r w:rsidR="0021578A">
              <w:t xml:space="preserve">either </w:t>
            </w:r>
            <w:r w:rsidR="00534B0A">
              <w:t xml:space="preserve">leaving </w:t>
            </w:r>
            <w:r w:rsidR="0021578A">
              <w:t xml:space="preserve">or staying at </w:t>
            </w:r>
            <w:r w:rsidR="00534B0A">
              <w:t>the LEA/school.</w:t>
            </w:r>
          </w:p>
          <w:p w14:paraId="3DC84DBC" w14:textId="593303D0" w:rsidR="006404E6" w:rsidRPr="00F643EF" w:rsidRDefault="001B5C16" w:rsidP="00A2717B">
            <w:pPr>
              <w:pStyle w:val="ListParagraph"/>
              <w:numPr>
                <w:ilvl w:val="0"/>
                <w:numId w:val="3"/>
              </w:numPr>
              <w:tabs>
                <w:tab w:val="center" w:pos="2229"/>
              </w:tabs>
            </w:pPr>
            <w:r>
              <w:t>The LEA uses input from educators to design future retention efforts.</w:t>
            </w:r>
          </w:p>
        </w:tc>
        <w:tc>
          <w:tcPr>
            <w:tcW w:w="5580" w:type="dxa"/>
          </w:tcPr>
          <w:p w14:paraId="485B0521" w14:textId="77777777" w:rsidR="009448AA" w:rsidRDefault="009448AA" w:rsidP="006E75E6">
            <w:r>
              <w:rPr>
                <w:b/>
              </w:rPr>
              <w:t>Look-</w:t>
            </w:r>
            <w:proofErr w:type="spellStart"/>
            <w:r>
              <w:rPr>
                <w:b/>
              </w:rPr>
              <w:t>fors</w:t>
            </w:r>
            <w:proofErr w:type="spellEnd"/>
            <w:r>
              <w:t>:</w:t>
            </w:r>
          </w:p>
          <w:p w14:paraId="39FB9C1C" w14:textId="5CDAB937" w:rsidR="009448AA" w:rsidRDefault="004D2AA0" w:rsidP="006E75E6">
            <w:pPr>
              <w:pStyle w:val="ListParagraph"/>
              <w:numPr>
                <w:ilvl w:val="0"/>
                <w:numId w:val="3"/>
              </w:numPr>
            </w:pPr>
            <w:r>
              <w:t>The LEA tracks and compares retention rates across schools with different performance levels and demographics</w:t>
            </w:r>
            <w:r w:rsidR="00FB43F6">
              <w:t>, and across roles/subjects.</w:t>
            </w:r>
          </w:p>
          <w:p w14:paraId="17972B7A" w14:textId="366A6610" w:rsidR="001704A5" w:rsidRDefault="001704A5" w:rsidP="006E75E6">
            <w:pPr>
              <w:pStyle w:val="ListParagraph"/>
              <w:numPr>
                <w:ilvl w:val="0"/>
                <w:numId w:val="3"/>
              </w:numPr>
            </w:pPr>
            <w:r>
              <w:t>The LEA tracks the rate of effective educators moving from higher need to lower need schools in the LEA, and vice versa.</w:t>
            </w:r>
          </w:p>
          <w:p w14:paraId="2ADA4350" w14:textId="3E97D244" w:rsidR="001704A5" w:rsidRDefault="001704A5" w:rsidP="006E75E6">
            <w:pPr>
              <w:pStyle w:val="ListParagraph"/>
              <w:numPr>
                <w:ilvl w:val="0"/>
                <w:numId w:val="3"/>
              </w:numPr>
            </w:pPr>
            <w:r>
              <w:t xml:space="preserve">The LEA tracks </w:t>
            </w:r>
            <w:r w:rsidR="007B3B98">
              <w:t>the rate of effective teachers leaving shortage subjects (</w:t>
            </w:r>
            <w:r w:rsidR="00850FC3">
              <w:t xml:space="preserve">i.e., </w:t>
            </w:r>
            <w:r w:rsidR="007B3B98">
              <w:t>special education, ESL) for other roles in the LEA, and vice versa</w:t>
            </w:r>
            <w:r w:rsidR="00987A6E">
              <w:t>.</w:t>
            </w:r>
          </w:p>
          <w:p w14:paraId="08286E2B" w14:textId="1FA6F5E6" w:rsidR="00AA58A6" w:rsidRDefault="00AA58A6" w:rsidP="006E75E6">
            <w:pPr>
              <w:pStyle w:val="ListParagraph"/>
              <w:numPr>
                <w:ilvl w:val="0"/>
                <w:numId w:val="3"/>
              </w:numPr>
            </w:pPr>
            <w:r>
              <w:t xml:space="preserve">When planning retention strategies (e.g., additional </w:t>
            </w:r>
            <w:r w:rsidR="00D95FC5">
              <w:t>coaching support, leadership roles), the LEA prioritizes the highest need schools</w:t>
            </w:r>
            <w:r w:rsidR="007B3B98">
              <w:t xml:space="preserve"> and/or critical shortage subjects</w:t>
            </w:r>
            <w:r w:rsidR="00D95FC5">
              <w:t>.</w:t>
            </w:r>
          </w:p>
          <w:p w14:paraId="1F68FCCB" w14:textId="01D5F519" w:rsidR="00D95FC5" w:rsidRPr="00E87C25" w:rsidRDefault="00D95FC5" w:rsidP="001704A5">
            <w:pPr>
              <w:pStyle w:val="ListParagraph"/>
            </w:pPr>
          </w:p>
        </w:tc>
      </w:tr>
    </w:tbl>
    <w:tbl>
      <w:tblPr>
        <w:tblStyle w:val="TableGrid"/>
        <w:tblpPr w:leftFromText="180" w:rightFromText="180" w:vertAnchor="text" w:horzAnchor="margin" w:tblpY="312"/>
        <w:tblW w:w="11065" w:type="dxa"/>
        <w:tblLook w:val="04A0" w:firstRow="1" w:lastRow="0" w:firstColumn="1" w:lastColumn="0" w:noHBand="0" w:noVBand="1"/>
      </w:tblPr>
      <w:tblGrid>
        <w:gridCol w:w="11065"/>
      </w:tblGrid>
      <w:tr w:rsidR="0038177C" w14:paraId="4598BC33" w14:textId="77777777" w:rsidTr="0038177C">
        <w:tc>
          <w:tcPr>
            <w:tcW w:w="11065" w:type="dxa"/>
            <w:shd w:val="clear" w:color="auto" w:fill="B4C6E7" w:themeFill="accent1" w:themeFillTint="66"/>
          </w:tcPr>
          <w:p w14:paraId="413C6919" w14:textId="77777777" w:rsidR="0038177C" w:rsidRPr="00917AC4" w:rsidRDefault="0038177C" w:rsidP="0038177C">
            <w:pPr>
              <w:jc w:val="center"/>
              <w:rPr>
                <w:b/>
                <w:color w:val="2F5496" w:themeColor="accent1" w:themeShade="BF"/>
              </w:rPr>
            </w:pPr>
            <w:r>
              <w:rPr>
                <w:rFonts w:asciiTheme="majorHAnsi" w:hAnsiTheme="majorHAnsi" w:cstheme="majorBidi"/>
                <w:b/>
                <w:bCs/>
                <w:color w:val="2F5496" w:themeColor="accent1" w:themeShade="BF"/>
                <w:sz w:val="30"/>
                <w:szCs w:val="30"/>
              </w:rPr>
              <w:t>VI. SCHOOL LEADER HUMAN CAPITAL DEVELOPMENT</w:t>
            </w:r>
          </w:p>
        </w:tc>
      </w:tr>
      <w:tr w:rsidR="0038177C" w14:paraId="25B963B0" w14:textId="77777777" w:rsidTr="0038177C">
        <w:tc>
          <w:tcPr>
            <w:tcW w:w="11065" w:type="dxa"/>
            <w:shd w:val="clear" w:color="auto" w:fill="B4C6E7" w:themeFill="accent1" w:themeFillTint="66"/>
          </w:tcPr>
          <w:p w14:paraId="0F78BB62" w14:textId="77777777" w:rsidR="0038177C" w:rsidRDefault="0038177C" w:rsidP="0038177C">
            <w:pPr>
              <w:rPr>
                <w:b/>
              </w:rPr>
            </w:pPr>
            <w:r w:rsidRPr="00917AC4">
              <w:rPr>
                <w:b/>
                <w:color w:val="2F5496" w:themeColor="accent1" w:themeShade="BF"/>
              </w:rPr>
              <w:t xml:space="preserve">Practice </w:t>
            </w:r>
            <w:r>
              <w:rPr>
                <w:b/>
                <w:color w:val="2F5496" w:themeColor="accent1" w:themeShade="BF"/>
              </w:rPr>
              <w:t>1</w:t>
            </w:r>
            <w:r w:rsidRPr="00917AC4">
              <w:rPr>
                <w:b/>
                <w:color w:val="2F5496" w:themeColor="accent1" w:themeShade="BF"/>
              </w:rPr>
              <w:t>:</w:t>
            </w:r>
            <w:r>
              <w:rPr>
                <w:b/>
                <w:color w:val="2F5496" w:themeColor="accent1" w:themeShade="BF"/>
              </w:rPr>
              <w:t xml:space="preserve"> </w:t>
            </w:r>
            <w:r>
              <w:rPr>
                <w:color w:val="2F5496" w:themeColor="accent1" w:themeShade="BF"/>
              </w:rPr>
              <w:t>The LEA develops school leaders as human capital managers.</w:t>
            </w:r>
          </w:p>
        </w:tc>
      </w:tr>
      <w:tr w:rsidR="0038177C" w:rsidRPr="00A70E60" w14:paraId="7E12703C" w14:textId="77777777" w:rsidTr="0038177C">
        <w:tc>
          <w:tcPr>
            <w:tcW w:w="11065" w:type="dxa"/>
          </w:tcPr>
          <w:p w14:paraId="54321C8C" w14:textId="77777777" w:rsidR="0038177C" w:rsidRDefault="0038177C" w:rsidP="0038177C">
            <w:pPr>
              <w:rPr>
                <w:b/>
              </w:rPr>
            </w:pPr>
            <w:r>
              <w:rPr>
                <w:b/>
              </w:rPr>
              <w:t xml:space="preserve">Look </w:t>
            </w:r>
            <w:proofErr w:type="spellStart"/>
            <w:r>
              <w:rPr>
                <w:b/>
              </w:rPr>
              <w:t>fors</w:t>
            </w:r>
            <w:proofErr w:type="spellEnd"/>
            <w:r>
              <w:rPr>
                <w:b/>
              </w:rPr>
              <w:t>:</w:t>
            </w:r>
          </w:p>
          <w:p w14:paraId="217DF6E3" w14:textId="77777777" w:rsidR="0038177C" w:rsidRDefault="0038177C" w:rsidP="0038177C">
            <w:pPr>
              <w:pStyle w:val="ListParagraph"/>
              <w:numPr>
                <w:ilvl w:val="0"/>
                <w:numId w:val="3"/>
              </w:numPr>
            </w:pPr>
            <w:r>
              <w:t>The LEA provides training and direct support to school leaders on best practices in educator placement, mentoring, development, career management, retention, and difficult conversations with staff.</w:t>
            </w:r>
          </w:p>
          <w:p w14:paraId="787515A3" w14:textId="77777777" w:rsidR="0038177C" w:rsidRDefault="0038177C" w:rsidP="0038177C">
            <w:pPr>
              <w:pStyle w:val="ListParagraph"/>
              <w:numPr>
                <w:ilvl w:val="0"/>
                <w:numId w:val="3"/>
              </w:numPr>
            </w:pPr>
            <w:r>
              <w:t xml:space="preserve"> LEA provides targeted human capital training for leaders who manage low performing educators and/or schools.</w:t>
            </w:r>
          </w:p>
          <w:p w14:paraId="3ECC10BE" w14:textId="77777777" w:rsidR="0038177C" w:rsidRDefault="0038177C" w:rsidP="0038177C">
            <w:pPr>
              <w:pStyle w:val="ListParagraph"/>
              <w:numPr>
                <w:ilvl w:val="0"/>
                <w:numId w:val="3"/>
              </w:numPr>
            </w:pPr>
            <w:r>
              <w:t>Human capital support is informed by personnel data and feedback from school leaders.</w:t>
            </w:r>
          </w:p>
          <w:p w14:paraId="35AB0CAF" w14:textId="77777777" w:rsidR="0038177C" w:rsidRPr="00A70E60" w:rsidRDefault="0038177C" w:rsidP="0038177C">
            <w:pPr>
              <w:pStyle w:val="ListParagraph"/>
              <w:numPr>
                <w:ilvl w:val="0"/>
                <w:numId w:val="3"/>
              </w:numPr>
            </w:pPr>
            <w:r>
              <w:t>The LEA provides quantitative/qualitative human capital data to school leaders and develops their capacity to apply the data to decision-making.</w:t>
            </w:r>
          </w:p>
        </w:tc>
      </w:tr>
    </w:tbl>
    <w:p w14:paraId="2A0B520C" w14:textId="589A03A3" w:rsidR="009448AA" w:rsidRDefault="009448AA"/>
    <w:p w14:paraId="278A73DC" w14:textId="77777777" w:rsidR="00A01EB3" w:rsidRDefault="00A01EB3"/>
    <w:sectPr w:rsidR="00A01EB3" w:rsidSect="006A7E79">
      <w:footerReference w:type="default" r:id="rId10"/>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8EC8" w14:textId="77777777" w:rsidR="007E17C2" w:rsidRDefault="007E17C2" w:rsidP="00571DC2">
      <w:pPr>
        <w:spacing w:after="0" w:line="240" w:lineRule="auto"/>
      </w:pPr>
      <w:r>
        <w:separator/>
      </w:r>
    </w:p>
  </w:endnote>
  <w:endnote w:type="continuationSeparator" w:id="0">
    <w:p w14:paraId="21675748" w14:textId="77777777" w:rsidR="007E17C2" w:rsidRDefault="007E17C2" w:rsidP="0057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43249"/>
      <w:docPartObj>
        <w:docPartGallery w:val="Page Numbers (Bottom of Page)"/>
        <w:docPartUnique/>
      </w:docPartObj>
    </w:sdtPr>
    <w:sdtEndPr>
      <w:rPr>
        <w:noProof/>
      </w:rPr>
    </w:sdtEndPr>
    <w:sdtContent>
      <w:p w14:paraId="67F11524" w14:textId="6D9AA054" w:rsidR="00571DC2" w:rsidRDefault="00571D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B541BC" w14:textId="77777777" w:rsidR="00571DC2" w:rsidRDefault="0057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23DC" w14:textId="77777777" w:rsidR="007E17C2" w:rsidRDefault="007E17C2" w:rsidP="00571DC2">
      <w:pPr>
        <w:spacing w:after="0" w:line="240" w:lineRule="auto"/>
      </w:pPr>
      <w:r>
        <w:separator/>
      </w:r>
    </w:p>
  </w:footnote>
  <w:footnote w:type="continuationSeparator" w:id="0">
    <w:p w14:paraId="3BE4BD1E" w14:textId="77777777" w:rsidR="007E17C2" w:rsidRDefault="007E17C2" w:rsidP="00571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112E"/>
    <w:multiLevelType w:val="hybridMultilevel"/>
    <w:tmpl w:val="15B8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02C76"/>
    <w:multiLevelType w:val="hybridMultilevel"/>
    <w:tmpl w:val="161EC37C"/>
    <w:lvl w:ilvl="0" w:tplc="09F07FFA">
      <w:start w:val="1"/>
      <w:numFmt w:val="decimal"/>
      <w:lvlText w:val="%1."/>
      <w:lvlJc w:val="left"/>
      <w:pPr>
        <w:ind w:left="720" w:hanging="360"/>
      </w:pPr>
      <w:rPr>
        <w:rFonts w:asciiTheme="majorHAnsi" w:hAnsiTheme="majorHAnsi" w:cstheme="majorHAnsi"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86E38"/>
    <w:multiLevelType w:val="hybridMultilevel"/>
    <w:tmpl w:val="A1246D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28"/>
    <w:rsid w:val="00002660"/>
    <w:rsid w:val="00015067"/>
    <w:rsid w:val="00017F8B"/>
    <w:rsid w:val="000215F9"/>
    <w:rsid w:val="00024027"/>
    <w:rsid w:val="00035517"/>
    <w:rsid w:val="00042715"/>
    <w:rsid w:val="000448DB"/>
    <w:rsid w:val="00060FDB"/>
    <w:rsid w:val="00064CF8"/>
    <w:rsid w:val="0007003D"/>
    <w:rsid w:val="00070422"/>
    <w:rsid w:val="00073017"/>
    <w:rsid w:val="00073A35"/>
    <w:rsid w:val="00076559"/>
    <w:rsid w:val="00077597"/>
    <w:rsid w:val="00081397"/>
    <w:rsid w:val="000B0FE0"/>
    <w:rsid w:val="000B54FC"/>
    <w:rsid w:val="000B6D36"/>
    <w:rsid w:val="000C4948"/>
    <w:rsid w:val="000E2130"/>
    <w:rsid w:val="000E33A7"/>
    <w:rsid w:val="000F2E60"/>
    <w:rsid w:val="000F588A"/>
    <w:rsid w:val="00117EAE"/>
    <w:rsid w:val="00125D28"/>
    <w:rsid w:val="001406B7"/>
    <w:rsid w:val="001461AD"/>
    <w:rsid w:val="00152013"/>
    <w:rsid w:val="00154DAA"/>
    <w:rsid w:val="001553C2"/>
    <w:rsid w:val="00167AB9"/>
    <w:rsid w:val="001704A5"/>
    <w:rsid w:val="00184019"/>
    <w:rsid w:val="0019490D"/>
    <w:rsid w:val="001961EF"/>
    <w:rsid w:val="001A0F2E"/>
    <w:rsid w:val="001A3F09"/>
    <w:rsid w:val="001B5C16"/>
    <w:rsid w:val="001E2A85"/>
    <w:rsid w:val="001E2D32"/>
    <w:rsid w:val="001F7CCE"/>
    <w:rsid w:val="00204E35"/>
    <w:rsid w:val="002068F8"/>
    <w:rsid w:val="00214536"/>
    <w:rsid w:val="0021578A"/>
    <w:rsid w:val="00223769"/>
    <w:rsid w:val="00231A12"/>
    <w:rsid w:val="002435EA"/>
    <w:rsid w:val="00247606"/>
    <w:rsid w:val="00250DFC"/>
    <w:rsid w:val="00252C9F"/>
    <w:rsid w:val="00257AD3"/>
    <w:rsid w:val="00267967"/>
    <w:rsid w:val="002762AC"/>
    <w:rsid w:val="002854A8"/>
    <w:rsid w:val="00291DE6"/>
    <w:rsid w:val="00294902"/>
    <w:rsid w:val="002A1174"/>
    <w:rsid w:val="002C353E"/>
    <w:rsid w:val="002C6544"/>
    <w:rsid w:val="002D1BF6"/>
    <w:rsid w:val="002D3AB7"/>
    <w:rsid w:val="002D664D"/>
    <w:rsid w:val="002E522E"/>
    <w:rsid w:val="002F7607"/>
    <w:rsid w:val="0030244C"/>
    <w:rsid w:val="0031308E"/>
    <w:rsid w:val="00316705"/>
    <w:rsid w:val="00320509"/>
    <w:rsid w:val="0032690C"/>
    <w:rsid w:val="00326B15"/>
    <w:rsid w:val="00337E91"/>
    <w:rsid w:val="00347D04"/>
    <w:rsid w:val="00351D6D"/>
    <w:rsid w:val="00353A24"/>
    <w:rsid w:val="003600EB"/>
    <w:rsid w:val="00367C83"/>
    <w:rsid w:val="00373C84"/>
    <w:rsid w:val="0038177C"/>
    <w:rsid w:val="00390D34"/>
    <w:rsid w:val="00392C13"/>
    <w:rsid w:val="0039373C"/>
    <w:rsid w:val="003A03A0"/>
    <w:rsid w:val="003A0EE4"/>
    <w:rsid w:val="003A1C60"/>
    <w:rsid w:val="003A5BB5"/>
    <w:rsid w:val="003B08E2"/>
    <w:rsid w:val="003B68CD"/>
    <w:rsid w:val="003C41A4"/>
    <w:rsid w:val="003C7C7E"/>
    <w:rsid w:val="003E4822"/>
    <w:rsid w:val="004004BF"/>
    <w:rsid w:val="00417365"/>
    <w:rsid w:val="00421045"/>
    <w:rsid w:val="00426C85"/>
    <w:rsid w:val="00431DF2"/>
    <w:rsid w:val="00432C5C"/>
    <w:rsid w:val="00442D67"/>
    <w:rsid w:val="00447978"/>
    <w:rsid w:val="00447DF9"/>
    <w:rsid w:val="00464802"/>
    <w:rsid w:val="00466D0B"/>
    <w:rsid w:val="00466DB4"/>
    <w:rsid w:val="004B270B"/>
    <w:rsid w:val="004B394F"/>
    <w:rsid w:val="004D2AA0"/>
    <w:rsid w:val="004D7B6F"/>
    <w:rsid w:val="004E54D8"/>
    <w:rsid w:val="004F23EE"/>
    <w:rsid w:val="004F28D2"/>
    <w:rsid w:val="004F6736"/>
    <w:rsid w:val="004F6792"/>
    <w:rsid w:val="00503E0A"/>
    <w:rsid w:val="0051692F"/>
    <w:rsid w:val="0052643B"/>
    <w:rsid w:val="00534B0A"/>
    <w:rsid w:val="00540E44"/>
    <w:rsid w:val="00550902"/>
    <w:rsid w:val="00551289"/>
    <w:rsid w:val="00552938"/>
    <w:rsid w:val="00570DE3"/>
    <w:rsid w:val="00571DC2"/>
    <w:rsid w:val="0058514B"/>
    <w:rsid w:val="005B0A16"/>
    <w:rsid w:val="005C107B"/>
    <w:rsid w:val="005C55CB"/>
    <w:rsid w:val="005D1708"/>
    <w:rsid w:val="005D256C"/>
    <w:rsid w:val="005E2B3B"/>
    <w:rsid w:val="005F56AC"/>
    <w:rsid w:val="00615191"/>
    <w:rsid w:val="006211A1"/>
    <w:rsid w:val="00623837"/>
    <w:rsid w:val="0062418E"/>
    <w:rsid w:val="00635A5A"/>
    <w:rsid w:val="006404E6"/>
    <w:rsid w:val="00651156"/>
    <w:rsid w:val="00653B8E"/>
    <w:rsid w:val="00665A3E"/>
    <w:rsid w:val="00671587"/>
    <w:rsid w:val="00686B20"/>
    <w:rsid w:val="006905BD"/>
    <w:rsid w:val="00696FFA"/>
    <w:rsid w:val="006A279D"/>
    <w:rsid w:val="006A7E79"/>
    <w:rsid w:val="006B5D13"/>
    <w:rsid w:val="006C2B77"/>
    <w:rsid w:val="006C3B57"/>
    <w:rsid w:val="006D25C9"/>
    <w:rsid w:val="006E419D"/>
    <w:rsid w:val="006E75E6"/>
    <w:rsid w:val="006F25FD"/>
    <w:rsid w:val="00703466"/>
    <w:rsid w:val="0071161C"/>
    <w:rsid w:val="007122CC"/>
    <w:rsid w:val="00725914"/>
    <w:rsid w:val="00734CDA"/>
    <w:rsid w:val="00740485"/>
    <w:rsid w:val="0074587A"/>
    <w:rsid w:val="00772EBD"/>
    <w:rsid w:val="00793DE2"/>
    <w:rsid w:val="007A1616"/>
    <w:rsid w:val="007B321C"/>
    <w:rsid w:val="007B3B98"/>
    <w:rsid w:val="007C29E8"/>
    <w:rsid w:val="007C2A83"/>
    <w:rsid w:val="007C2D91"/>
    <w:rsid w:val="007C55F2"/>
    <w:rsid w:val="007D528E"/>
    <w:rsid w:val="007E17C2"/>
    <w:rsid w:val="007E303E"/>
    <w:rsid w:val="007E3575"/>
    <w:rsid w:val="007F426F"/>
    <w:rsid w:val="00801EB7"/>
    <w:rsid w:val="00810921"/>
    <w:rsid w:val="00810C37"/>
    <w:rsid w:val="008141EA"/>
    <w:rsid w:val="00816FC9"/>
    <w:rsid w:val="00823B97"/>
    <w:rsid w:val="008341AB"/>
    <w:rsid w:val="008364CE"/>
    <w:rsid w:val="00844E21"/>
    <w:rsid w:val="0085065E"/>
    <w:rsid w:val="00850FC3"/>
    <w:rsid w:val="00856D62"/>
    <w:rsid w:val="00863B1D"/>
    <w:rsid w:val="00873341"/>
    <w:rsid w:val="00886A18"/>
    <w:rsid w:val="008A0925"/>
    <w:rsid w:val="008A133E"/>
    <w:rsid w:val="008C3EA4"/>
    <w:rsid w:val="008C41C9"/>
    <w:rsid w:val="008C516B"/>
    <w:rsid w:val="008C6F73"/>
    <w:rsid w:val="008C760C"/>
    <w:rsid w:val="008C7F87"/>
    <w:rsid w:val="008D5B19"/>
    <w:rsid w:val="008E13F8"/>
    <w:rsid w:val="008F09B2"/>
    <w:rsid w:val="008F6A5A"/>
    <w:rsid w:val="009054F2"/>
    <w:rsid w:val="009062E9"/>
    <w:rsid w:val="00917AC4"/>
    <w:rsid w:val="0092343B"/>
    <w:rsid w:val="00936977"/>
    <w:rsid w:val="00937403"/>
    <w:rsid w:val="009448AA"/>
    <w:rsid w:val="009534CF"/>
    <w:rsid w:val="00956EF1"/>
    <w:rsid w:val="009644F7"/>
    <w:rsid w:val="0098049C"/>
    <w:rsid w:val="0098208E"/>
    <w:rsid w:val="00987A6E"/>
    <w:rsid w:val="009A49B2"/>
    <w:rsid w:val="009A5AC7"/>
    <w:rsid w:val="009A78BC"/>
    <w:rsid w:val="009B1114"/>
    <w:rsid w:val="009C10F1"/>
    <w:rsid w:val="009C6DFB"/>
    <w:rsid w:val="009E4653"/>
    <w:rsid w:val="009F06BB"/>
    <w:rsid w:val="009F371C"/>
    <w:rsid w:val="00A01BB6"/>
    <w:rsid w:val="00A01EB3"/>
    <w:rsid w:val="00A05E40"/>
    <w:rsid w:val="00A14710"/>
    <w:rsid w:val="00A1492C"/>
    <w:rsid w:val="00A2717B"/>
    <w:rsid w:val="00A31DCD"/>
    <w:rsid w:val="00A32357"/>
    <w:rsid w:val="00A36753"/>
    <w:rsid w:val="00A44451"/>
    <w:rsid w:val="00A511C6"/>
    <w:rsid w:val="00A55CB7"/>
    <w:rsid w:val="00A632CC"/>
    <w:rsid w:val="00A64AA3"/>
    <w:rsid w:val="00A704EA"/>
    <w:rsid w:val="00A70E60"/>
    <w:rsid w:val="00A71DF7"/>
    <w:rsid w:val="00A720A8"/>
    <w:rsid w:val="00A90BBA"/>
    <w:rsid w:val="00A91485"/>
    <w:rsid w:val="00AA2790"/>
    <w:rsid w:val="00AA58A6"/>
    <w:rsid w:val="00AD3C2D"/>
    <w:rsid w:val="00AE07BE"/>
    <w:rsid w:val="00AE4586"/>
    <w:rsid w:val="00AF3048"/>
    <w:rsid w:val="00B04F85"/>
    <w:rsid w:val="00B0647D"/>
    <w:rsid w:val="00B16851"/>
    <w:rsid w:val="00B2369D"/>
    <w:rsid w:val="00B25AFE"/>
    <w:rsid w:val="00B4282E"/>
    <w:rsid w:val="00B45F22"/>
    <w:rsid w:val="00B54779"/>
    <w:rsid w:val="00B62A4F"/>
    <w:rsid w:val="00B75043"/>
    <w:rsid w:val="00B765C7"/>
    <w:rsid w:val="00B82E4F"/>
    <w:rsid w:val="00B84863"/>
    <w:rsid w:val="00B85D10"/>
    <w:rsid w:val="00B86235"/>
    <w:rsid w:val="00B86AE4"/>
    <w:rsid w:val="00B9045E"/>
    <w:rsid w:val="00B918FD"/>
    <w:rsid w:val="00B9373A"/>
    <w:rsid w:val="00B94260"/>
    <w:rsid w:val="00B95881"/>
    <w:rsid w:val="00BB0081"/>
    <w:rsid w:val="00BB6C93"/>
    <w:rsid w:val="00BC194B"/>
    <w:rsid w:val="00BC33EF"/>
    <w:rsid w:val="00BC7A11"/>
    <w:rsid w:val="00BD7866"/>
    <w:rsid w:val="00BE03DB"/>
    <w:rsid w:val="00BE1F7E"/>
    <w:rsid w:val="00BF3409"/>
    <w:rsid w:val="00BF4FD0"/>
    <w:rsid w:val="00BF6785"/>
    <w:rsid w:val="00C05FE0"/>
    <w:rsid w:val="00C15275"/>
    <w:rsid w:val="00C17290"/>
    <w:rsid w:val="00C25983"/>
    <w:rsid w:val="00C26853"/>
    <w:rsid w:val="00C41C68"/>
    <w:rsid w:val="00C425C2"/>
    <w:rsid w:val="00C45F76"/>
    <w:rsid w:val="00C53F28"/>
    <w:rsid w:val="00C54DAD"/>
    <w:rsid w:val="00C71636"/>
    <w:rsid w:val="00C745F6"/>
    <w:rsid w:val="00C74DE1"/>
    <w:rsid w:val="00C8242A"/>
    <w:rsid w:val="00CA4B29"/>
    <w:rsid w:val="00CB406E"/>
    <w:rsid w:val="00CB43BE"/>
    <w:rsid w:val="00CD2BE9"/>
    <w:rsid w:val="00CD6B4A"/>
    <w:rsid w:val="00CE14C3"/>
    <w:rsid w:val="00CF0B74"/>
    <w:rsid w:val="00CF4846"/>
    <w:rsid w:val="00CF6AAC"/>
    <w:rsid w:val="00D02625"/>
    <w:rsid w:val="00D1781F"/>
    <w:rsid w:val="00D22EA6"/>
    <w:rsid w:val="00D354F9"/>
    <w:rsid w:val="00D41429"/>
    <w:rsid w:val="00D43A7B"/>
    <w:rsid w:val="00D635B6"/>
    <w:rsid w:val="00D66351"/>
    <w:rsid w:val="00D67526"/>
    <w:rsid w:val="00D74050"/>
    <w:rsid w:val="00D76CD0"/>
    <w:rsid w:val="00D95FC5"/>
    <w:rsid w:val="00DA7D45"/>
    <w:rsid w:val="00DB35C6"/>
    <w:rsid w:val="00DB5991"/>
    <w:rsid w:val="00DB6E87"/>
    <w:rsid w:val="00DD0202"/>
    <w:rsid w:val="00DD0A56"/>
    <w:rsid w:val="00DE03E1"/>
    <w:rsid w:val="00DE213B"/>
    <w:rsid w:val="00DE454F"/>
    <w:rsid w:val="00E0112B"/>
    <w:rsid w:val="00E12E34"/>
    <w:rsid w:val="00E210F3"/>
    <w:rsid w:val="00E32631"/>
    <w:rsid w:val="00E54F4C"/>
    <w:rsid w:val="00E6713F"/>
    <w:rsid w:val="00E876F4"/>
    <w:rsid w:val="00E87C25"/>
    <w:rsid w:val="00E96846"/>
    <w:rsid w:val="00EA37B7"/>
    <w:rsid w:val="00EA472A"/>
    <w:rsid w:val="00EA79B7"/>
    <w:rsid w:val="00EB2492"/>
    <w:rsid w:val="00EB63F8"/>
    <w:rsid w:val="00EC545B"/>
    <w:rsid w:val="00EE16D6"/>
    <w:rsid w:val="00F368C2"/>
    <w:rsid w:val="00F37FC8"/>
    <w:rsid w:val="00F44009"/>
    <w:rsid w:val="00F45C08"/>
    <w:rsid w:val="00F46536"/>
    <w:rsid w:val="00F46F04"/>
    <w:rsid w:val="00F643EF"/>
    <w:rsid w:val="00F8073C"/>
    <w:rsid w:val="00F821E8"/>
    <w:rsid w:val="00F84E21"/>
    <w:rsid w:val="00F86F66"/>
    <w:rsid w:val="00FA093F"/>
    <w:rsid w:val="00FA3A7D"/>
    <w:rsid w:val="00FA6305"/>
    <w:rsid w:val="00FB43F6"/>
    <w:rsid w:val="00FB77D0"/>
    <w:rsid w:val="00FC4ABA"/>
    <w:rsid w:val="00FD383C"/>
    <w:rsid w:val="00FF098E"/>
    <w:rsid w:val="00FF14E3"/>
    <w:rsid w:val="013723CF"/>
    <w:rsid w:val="05290994"/>
    <w:rsid w:val="057789DA"/>
    <w:rsid w:val="070AEE22"/>
    <w:rsid w:val="07924F6C"/>
    <w:rsid w:val="0D24B77E"/>
    <w:rsid w:val="1089C85A"/>
    <w:rsid w:val="174BC340"/>
    <w:rsid w:val="177D84BC"/>
    <w:rsid w:val="17A2E270"/>
    <w:rsid w:val="1C32D80E"/>
    <w:rsid w:val="1CA81CAA"/>
    <w:rsid w:val="2076CCA6"/>
    <w:rsid w:val="20F0B41F"/>
    <w:rsid w:val="238DB811"/>
    <w:rsid w:val="340B2A6F"/>
    <w:rsid w:val="34FD3C2A"/>
    <w:rsid w:val="3E766F2E"/>
    <w:rsid w:val="418C32B3"/>
    <w:rsid w:val="4C81FC6E"/>
    <w:rsid w:val="4DA2E47D"/>
    <w:rsid w:val="53992263"/>
    <w:rsid w:val="57D781A0"/>
    <w:rsid w:val="5C01EDAF"/>
    <w:rsid w:val="5DA3D522"/>
    <w:rsid w:val="70F41AAF"/>
    <w:rsid w:val="7567A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8F18"/>
  <w15:chartTrackingRefBased/>
  <w15:docId w15:val="{8C0BF9F0-0312-42F9-A88D-E4A09BF5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A4F"/>
    <w:pPr>
      <w:ind w:left="720"/>
      <w:contextualSpacing/>
    </w:pPr>
  </w:style>
  <w:style w:type="character" w:styleId="CommentReference">
    <w:name w:val="annotation reference"/>
    <w:basedOn w:val="DefaultParagraphFont"/>
    <w:uiPriority w:val="99"/>
    <w:semiHidden/>
    <w:unhideWhenUsed/>
    <w:rsid w:val="00464802"/>
    <w:rPr>
      <w:sz w:val="16"/>
      <w:szCs w:val="16"/>
    </w:rPr>
  </w:style>
  <w:style w:type="paragraph" w:styleId="CommentText">
    <w:name w:val="annotation text"/>
    <w:basedOn w:val="Normal"/>
    <w:link w:val="CommentTextChar"/>
    <w:uiPriority w:val="99"/>
    <w:semiHidden/>
    <w:unhideWhenUsed/>
    <w:rsid w:val="00464802"/>
    <w:pPr>
      <w:spacing w:line="240" w:lineRule="auto"/>
    </w:pPr>
    <w:rPr>
      <w:sz w:val="20"/>
      <w:szCs w:val="20"/>
    </w:rPr>
  </w:style>
  <w:style w:type="character" w:customStyle="1" w:styleId="CommentTextChar">
    <w:name w:val="Comment Text Char"/>
    <w:basedOn w:val="DefaultParagraphFont"/>
    <w:link w:val="CommentText"/>
    <w:uiPriority w:val="99"/>
    <w:semiHidden/>
    <w:rsid w:val="00464802"/>
    <w:rPr>
      <w:sz w:val="20"/>
      <w:szCs w:val="20"/>
    </w:rPr>
  </w:style>
  <w:style w:type="paragraph" w:styleId="CommentSubject">
    <w:name w:val="annotation subject"/>
    <w:basedOn w:val="CommentText"/>
    <w:next w:val="CommentText"/>
    <w:link w:val="CommentSubjectChar"/>
    <w:uiPriority w:val="99"/>
    <w:semiHidden/>
    <w:unhideWhenUsed/>
    <w:rsid w:val="00464802"/>
    <w:rPr>
      <w:b/>
      <w:bCs/>
    </w:rPr>
  </w:style>
  <w:style w:type="character" w:customStyle="1" w:styleId="CommentSubjectChar">
    <w:name w:val="Comment Subject Char"/>
    <w:basedOn w:val="CommentTextChar"/>
    <w:link w:val="CommentSubject"/>
    <w:uiPriority w:val="99"/>
    <w:semiHidden/>
    <w:rsid w:val="00464802"/>
    <w:rPr>
      <w:b/>
      <w:bCs/>
      <w:sz w:val="20"/>
      <w:szCs w:val="20"/>
    </w:rPr>
  </w:style>
  <w:style w:type="paragraph" w:styleId="BalloonText">
    <w:name w:val="Balloon Text"/>
    <w:basedOn w:val="Normal"/>
    <w:link w:val="BalloonTextChar"/>
    <w:uiPriority w:val="99"/>
    <w:semiHidden/>
    <w:unhideWhenUsed/>
    <w:rsid w:val="00464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02"/>
    <w:rPr>
      <w:rFonts w:ascii="Segoe UI" w:hAnsi="Segoe UI" w:cs="Segoe UI"/>
      <w:sz w:val="18"/>
      <w:szCs w:val="18"/>
    </w:rPr>
  </w:style>
  <w:style w:type="paragraph" w:styleId="Revision">
    <w:name w:val="Revision"/>
    <w:hidden/>
    <w:uiPriority w:val="99"/>
    <w:semiHidden/>
    <w:rsid w:val="006E75E6"/>
    <w:pPr>
      <w:spacing w:after="0" w:line="240" w:lineRule="auto"/>
    </w:pPr>
  </w:style>
  <w:style w:type="paragraph" w:styleId="Header">
    <w:name w:val="header"/>
    <w:basedOn w:val="Normal"/>
    <w:link w:val="HeaderChar"/>
    <w:uiPriority w:val="99"/>
    <w:unhideWhenUsed/>
    <w:rsid w:val="0057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C2"/>
  </w:style>
  <w:style w:type="paragraph" w:styleId="Footer">
    <w:name w:val="footer"/>
    <w:basedOn w:val="Normal"/>
    <w:link w:val="FooterChar"/>
    <w:uiPriority w:val="99"/>
    <w:unhideWhenUsed/>
    <w:rsid w:val="0057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4922BDCEFF4F4481D8A8C2BC166126" ma:contentTypeVersion="12" ma:contentTypeDescription="Create a new document." ma:contentTypeScope="" ma:versionID="47f3e1bc4f59cce6f70cc97cd1e50614">
  <xsd:schema xmlns:xsd="http://www.w3.org/2001/XMLSchema" xmlns:xs="http://www.w3.org/2001/XMLSchema" xmlns:p="http://schemas.microsoft.com/office/2006/metadata/properties" xmlns:ns3="e4a3b28f-b67f-4c8a-879d-b1677cfea5da" xmlns:ns4="1bdb2bec-7401-42ae-81a0-8d48219dc4fc" targetNamespace="http://schemas.microsoft.com/office/2006/metadata/properties" ma:root="true" ma:fieldsID="208752c3051ba3b6cb302b61b1429e09" ns3:_="" ns4:_="">
    <xsd:import namespace="e4a3b28f-b67f-4c8a-879d-b1677cfea5da"/>
    <xsd:import namespace="1bdb2bec-7401-42ae-81a0-8d48219dc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b28f-b67f-4c8a-879d-b1677cfea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b2bec-7401-42ae-81a0-8d48219dc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4BBC2-A8EB-4CB8-9435-9A9644C1E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20CB7-FCDE-4CEB-9E06-39819CD6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b28f-b67f-4c8a-879d-b1677cfea5da"/>
    <ds:schemaRef ds:uri="1bdb2bec-7401-42ae-81a0-8d48219dc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0175D-3FE8-4946-BC1E-DE47FA1F6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Lancaster Lebanon IU 13</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Steiner</dc:creator>
  <cp:keywords/>
  <dc:description/>
  <cp:lastModifiedBy>Meagan Steiner</cp:lastModifiedBy>
  <cp:revision>3</cp:revision>
  <dcterms:created xsi:type="dcterms:W3CDTF">2019-10-28T14:30:00Z</dcterms:created>
  <dcterms:modified xsi:type="dcterms:W3CDTF">2020-09-02T15:22:00Z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0x010100EC4922BDCEFF4F4481D8A8C2BC166126</vt:lpwstr>
  </property>
</Properties>
</file>